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sldx" ContentType="application/vnd.openxmlformats-officedocument.presentationml.slide"/>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5917C6" w14:textId="77777777" w:rsidR="00A8227E" w:rsidRPr="00640A8F" w:rsidRDefault="00A8227E" w:rsidP="00A8227E">
      <w:pPr>
        <w:spacing w:after="0" w:line="240" w:lineRule="auto"/>
        <w:jc w:val="center"/>
        <w:rPr>
          <w:rFonts w:ascii="Times New Roman" w:hAnsi="Times New Roman"/>
          <w:color w:val="auto"/>
          <w:sz w:val="24"/>
          <w:szCs w:val="24"/>
        </w:rPr>
      </w:pPr>
      <w:r w:rsidRPr="00640A8F">
        <w:rPr>
          <w:rFonts w:ascii="Times New Roman" w:hAnsi="Times New Roman"/>
          <w:color w:val="auto"/>
          <w:sz w:val="24"/>
          <w:szCs w:val="24"/>
        </w:rPr>
        <w:t>CHAPTER NINE</w:t>
      </w:r>
    </w:p>
    <w:p w14:paraId="2EF1BED4" w14:textId="77777777" w:rsidR="00A8227E" w:rsidRPr="00640A8F" w:rsidRDefault="00A8227E" w:rsidP="00A8227E">
      <w:pPr>
        <w:spacing w:after="0" w:line="240" w:lineRule="auto"/>
        <w:jc w:val="center"/>
        <w:rPr>
          <w:rFonts w:ascii="Times New Roman" w:hAnsi="Times New Roman"/>
          <w:color w:val="auto"/>
          <w:sz w:val="24"/>
          <w:szCs w:val="24"/>
        </w:rPr>
      </w:pPr>
    </w:p>
    <w:p w14:paraId="0B3291D4" w14:textId="77777777" w:rsidR="00A8227E" w:rsidRPr="00640A8F" w:rsidRDefault="00A8227E" w:rsidP="00A8227E">
      <w:pPr>
        <w:spacing w:after="0" w:line="240" w:lineRule="auto"/>
        <w:jc w:val="center"/>
        <w:rPr>
          <w:rFonts w:ascii="Times New Roman" w:hAnsi="Times New Roman"/>
          <w:color w:val="auto"/>
          <w:sz w:val="24"/>
          <w:szCs w:val="24"/>
        </w:rPr>
      </w:pPr>
      <w:r w:rsidRPr="00640A8F">
        <w:rPr>
          <w:rFonts w:ascii="Times New Roman" w:hAnsi="Times New Roman"/>
          <w:color w:val="auto"/>
          <w:sz w:val="24"/>
          <w:szCs w:val="24"/>
        </w:rPr>
        <w:t>THE GENERIC STRUCTURE OF CSR REPORTS:</w:t>
      </w:r>
    </w:p>
    <w:p w14:paraId="2E112F15" w14:textId="77777777" w:rsidR="00A8227E" w:rsidRPr="00640A8F" w:rsidRDefault="00A8227E" w:rsidP="00A8227E">
      <w:pPr>
        <w:spacing w:after="0" w:line="240" w:lineRule="auto"/>
        <w:jc w:val="center"/>
        <w:rPr>
          <w:rFonts w:ascii="Times New Roman" w:hAnsi="Times New Roman"/>
          <w:color w:val="auto"/>
          <w:sz w:val="24"/>
          <w:szCs w:val="24"/>
        </w:rPr>
      </w:pPr>
      <w:r w:rsidRPr="00640A8F">
        <w:rPr>
          <w:rFonts w:ascii="Times New Roman" w:hAnsi="Times New Roman"/>
          <w:color w:val="auto"/>
          <w:sz w:val="24"/>
          <w:szCs w:val="24"/>
        </w:rPr>
        <w:t>DYNAMICITY, MULTIMODALITY, COMPLEXITY AND RECURSIVITY</w:t>
      </w:r>
    </w:p>
    <w:p w14:paraId="644813E4" w14:textId="77777777" w:rsidR="00A8227E" w:rsidRPr="00640A8F" w:rsidRDefault="00A8227E" w:rsidP="00A8227E">
      <w:pPr>
        <w:spacing w:after="0" w:line="240" w:lineRule="auto"/>
        <w:jc w:val="center"/>
        <w:rPr>
          <w:rFonts w:ascii="Times New Roman" w:hAnsi="Times New Roman"/>
          <w:color w:val="auto"/>
          <w:sz w:val="24"/>
          <w:szCs w:val="24"/>
        </w:rPr>
      </w:pPr>
    </w:p>
    <w:p w14:paraId="3C2FF4CF" w14:textId="77777777" w:rsidR="00A8227E" w:rsidRPr="00640A8F" w:rsidRDefault="00A8227E" w:rsidP="00A8227E">
      <w:pPr>
        <w:spacing w:after="0" w:line="240" w:lineRule="auto"/>
        <w:jc w:val="center"/>
        <w:rPr>
          <w:rFonts w:ascii="Times New Roman" w:hAnsi="Times New Roman"/>
          <w:color w:val="auto"/>
          <w:sz w:val="24"/>
          <w:szCs w:val="24"/>
        </w:rPr>
      </w:pPr>
      <w:r w:rsidRPr="00640A8F">
        <w:rPr>
          <w:rFonts w:ascii="Times New Roman" w:hAnsi="Times New Roman"/>
          <w:color w:val="auto"/>
          <w:sz w:val="24"/>
          <w:szCs w:val="24"/>
        </w:rPr>
        <w:t>MARINA BONDI</w:t>
      </w:r>
    </w:p>
    <w:p w14:paraId="16CF8105" w14:textId="77777777" w:rsidR="00A8227E" w:rsidRPr="00640A8F" w:rsidRDefault="00A8227E" w:rsidP="00A8227E">
      <w:pPr>
        <w:spacing w:after="0" w:line="240" w:lineRule="auto"/>
        <w:jc w:val="center"/>
        <w:rPr>
          <w:rFonts w:ascii="Times New Roman" w:hAnsi="Times New Roman"/>
          <w:color w:val="auto"/>
          <w:sz w:val="24"/>
          <w:szCs w:val="24"/>
        </w:rPr>
      </w:pPr>
      <w:r w:rsidRPr="00640A8F">
        <w:rPr>
          <w:rFonts w:ascii="Times New Roman" w:hAnsi="Times New Roman"/>
          <w:color w:val="auto"/>
          <w:sz w:val="24"/>
          <w:szCs w:val="24"/>
        </w:rPr>
        <w:t>DANNI YU</w:t>
      </w:r>
    </w:p>
    <w:p w14:paraId="31954BCC" w14:textId="77777777" w:rsidR="00A8227E" w:rsidRPr="00640A8F" w:rsidRDefault="00A8227E" w:rsidP="00A8227E">
      <w:pPr>
        <w:spacing w:after="0" w:line="240" w:lineRule="auto"/>
        <w:rPr>
          <w:rFonts w:ascii="Times New Roman" w:hAnsi="Times New Roman"/>
          <w:color w:val="auto"/>
          <w:sz w:val="20"/>
          <w:szCs w:val="20"/>
        </w:rPr>
      </w:pPr>
    </w:p>
    <w:p w14:paraId="4789A6AD" w14:textId="77777777" w:rsidR="00A8227E" w:rsidRPr="00640A8F" w:rsidRDefault="00A8227E" w:rsidP="00A8227E">
      <w:pPr>
        <w:spacing w:after="0" w:line="240" w:lineRule="auto"/>
        <w:rPr>
          <w:rFonts w:ascii="Times New Roman" w:hAnsi="Times New Roman"/>
          <w:color w:val="auto"/>
          <w:sz w:val="20"/>
          <w:szCs w:val="20"/>
        </w:rPr>
      </w:pPr>
    </w:p>
    <w:p w14:paraId="06CC2553" w14:textId="77777777" w:rsidR="00A8227E" w:rsidRPr="00640A8F" w:rsidRDefault="00A8227E" w:rsidP="00A8227E">
      <w:pPr>
        <w:spacing w:after="0" w:line="240" w:lineRule="auto"/>
        <w:jc w:val="center"/>
        <w:rPr>
          <w:rFonts w:ascii="Times New Roman" w:hAnsi="Times New Roman"/>
          <w:b/>
          <w:color w:val="auto"/>
          <w:sz w:val="20"/>
          <w:szCs w:val="20"/>
        </w:rPr>
      </w:pPr>
      <w:r w:rsidRPr="00640A8F">
        <w:rPr>
          <w:rFonts w:ascii="Times New Roman" w:hAnsi="Times New Roman"/>
          <w:b/>
          <w:color w:val="auto"/>
          <w:sz w:val="20"/>
          <w:szCs w:val="20"/>
        </w:rPr>
        <w:t>1. Introduction</w:t>
      </w:r>
    </w:p>
    <w:p w14:paraId="60C098E6" w14:textId="4B1AEE99" w:rsidR="00A8227E" w:rsidRPr="00640A8F" w:rsidRDefault="00A8227E" w:rsidP="00BF79CF">
      <w:pPr>
        <w:suppressAutoHyphens w:val="0"/>
        <w:autoSpaceDE w:val="0"/>
        <w:autoSpaceDN w:val="0"/>
        <w:adjustRightInd w:val="0"/>
        <w:spacing w:after="0" w:line="240" w:lineRule="auto"/>
        <w:jc w:val="both"/>
        <w:rPr>
          <w:rFonts w:ascii="Times New Roman" w:hAnsi="Times New Roman"/>
          <w:color w:val="auto"/>
          <w:sz w:val="20"/>
          <w:szCs w:val="20"/>
        </w:rPr>
      </w:pPr>
      <w:bookmarkStart w:id="0" w:name="_GoBack"/>
      <w:r w:rsidRPr="00640A8F">
        <w:rPr>
          <w:rFonts w:ascii="Times New Roman" w:hAnsi="Times New Roman"/>
          <w:color w:val="auto"/>
          <w:sz w:val="20"/>
          <w:szCs w:val="20"/>
        </w:rPr>
        <w:t>Corporate Social Responsibility (CSR) has become an increasingly</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bCs/>
          <w:color w:val="auto"/>
          <w:sz w:val="20"/>
          <w:szCs w:val="20"/>
          <w:shd w:val="clear" w:color="auto" w:fill="FFFFFF"/>
        </w:rPr>
        <w:t>popular</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color w:val="auto"/>
          <w:sz w:val="20"/>
          <w:szCs w:val="20"/>
          <w:shd w:val="clear" w:color="auto" w:fill="FFFFFF"/>
        </w:rPr>
        <w:t>managerial notion</w:t>
      </w:r>
      <w:r w:rsidRPr="00640A8F">
        <w:rPr>
          <w:rFonts w:ascii="Times New Roman" w:hAnsi="Times New Roman"/>
          <w:color w:val="auto"/>
          <w:sz w:val="20"/>
          <w:szCs w:val="20"/>
        </w:rPr>
        <w:t xml:space="preserve"> in the corporate world, as growing attention has been paid to the role of business in society. One of the major problems about CSR disclosure is the lack of an “official” and “all-embracing definition of CSR” (WBCSD, 2000: 3). However, considering historical, philosophical, situational and practical aspects, van Marrewjik (2002) suggests that a “one solution fits all” definition for CSR should be given up. </w:t>
      </w:r>
      <w:r w:rsidR="00BF79CF">
        <w:rPr>
          <w:rFonts w:ascii="TimesNewRoman" w:eastAsiaTheme="minorHAnsi" w:hAnsi="TimesNewRoman" w:cs="TimesNewRoman"/>
          <w:color w:val="auto"/>
          <w:sz w:val="20"/>
          <w:szCs w:val="20"/>
          <w:lang w:val="it-IT"/>
        </w:rPr>
        <w:t>Adopting a contextual perspective, Ellerup Nielsen and Thomsen</w:t>
      </w:r>
      <w:r w:rsidR="00BF79CF">
        <w:rPr>
          <w:rFonts w:ascii="TimesNewRoman" w:eastAsiaTheme="minorHAnsi" w:hAnsi="TimesNewRoman" w:cs="TimesNewRoman"/>
          <w:color w:val="auto"/>
          <w:sz w:val="20"/>
          <w:szCs w:val="20"/>
          <w:lang w:val="it-IT"/>
        </w:rPr>
        <w:t xml:space="preserve"> </w:t>
      </w:r>
      <w:r w:rsidR="00BF79CF">
        <w:rPr>
          <w:rFonts w:ascii="TimesNewRoman" w:eastAsiaTheme="minorHAnsi" w:hAnsi="TimesNewRoman" w:cs="TimesNewRoman"/>
          <w:color w:val="auto"/>
          <w:sz w:val="20"/>
          <w:szCs w:val="20"/>
          <w:lang w:val="it-IT"/>
        </w:rPr>
        <w:t>(2007) show that, from the point of view of corporations, the definition of</w:t>
      </w:r>
      <w:r w:rsidR="00BF79CF">
        <w:rPr>
          <w:rFonts w:ascii="TimesNewRoman" w:eastAsiaTheme="minorHAnsi" w:hAnsi="TimesNewRoman" w:cs="TimesNewRoman"/>
          <w:color w:val="auto"/>
          <w:sz w:val="20"/>
          <w:szCs w:val="20"/>
          <w:lang w:val="it-IT"/>
        </w:rPr>
        <w:t xml:space="preserve"> </w:t>
      </w:r>
      <w:r w:rsidR="00BF79CF">
        <w:rPr>
          <w:rFonts w:ascii="TimesNewRoman" w:eastAsiaTheme="minorHAnsi" w:hAnsi="TimesNewRoman" w:cs="TimesNewRoman"/>
          <w:color w:val="auto"/>
          <w:sz w:val="20"/>
          <w:szCs w:val="20"/>
          <w:lang w:val="it-IT"/>
        </w:rPr>
        <w:t>CSR depends on the specific context in which they do business.</w:t>
      </w:r>
      <w:r w:rsidR="00BF79CF">
        <w:rPr>
          <w:rFonts w:ascii="Times New Roman" w:hAnsi="Times New Roman"/>
          <w:color w:val="auto"/>
          <w:sz w:val="20"/>
          <w:szCs w:val="20"/>
        </w:rPr>
        <w:t xml:space="preserve"> </w:t>
      </w:r>
      <w:r w:rsidRPr="00640A8F">
        <w:rPr>
          <w:rFonts w:ascii="Times New Roman" w:hAnsi="Times New Roman"/>
          <w:color w:val="auto"/>
          <w:sz w:val="20"/>
          <w:szCs w:val="20"/>
        </w:rPr>
        <w:t xml:space="preserve">A company’s understanding of CSR implies its view towards key stakeholders, since in a modern corporate </w:t>
      </w:r>
      <w:r w:rsidR="00BF79CF">
        <w:rPr>
          <w:rFonts w:ascii="Times New Roman" w:hAnsi="Times New Roman"/>
          <w:color w:val="auto"/>
          <w:sz w:val="20"/>
          <w:szCs w:val="20"/>
        </w:rPr>
        <w:t>c</w:t>
      </w:r>
      <w:r w:rsidRPr="00640A8F">
        <w:rPr>
          <w:rFonts w:ascii="Times New Roman" w:hAnsi="Times New Roman"/>
          <w:color w:val="auto"/>
          <w:sz w:val="20"/>
          <w:szCs w:val="20"/>
        </w:rPr>
        <w:t xml:space="preserve">ommunication perspective, the success of any one company is closely related to its reputation among key stakeholders (Cornelissen 2004: 9; see Ellerup Nielsen and Thomsen 2007). </w:t>
      </w:r>
    </w:p>
    <w:bookmarkEnd w:id="0"/>
    <w:p w14:paraId="57B68EC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In the context of corporate communication, CSR refers to the company’s strategies, activities and practices that are relevant to its various stakeholder groups which often cover the economic dimension (e.g., shareholders, investors), the environmental dimension (e.g., local communities), and the social dimension (e.g., employees). In this perspective, CSR reporting becomes critical in building up an organisation’s </w:t>
      </w:r>
      <w:r w:rsidRPr="00640A8F">
        <w:rPr>
          <w:rFonts w:ascii="Times New Roman" w:hAnsi="Times New Roman"/>
          <w:b/>
          <w:color w:val="auto"/>
          <w:sz w:val="20"/>
          <w:szCs w:val="20"/>
        </w:rPr>
        <w:t>reputation</w:t>
      </w:r>
      <w:r w:rsidRPr="00640A8F">
        <w:rPr>
          <w:rFonts w:ascii="Times New Roman" w:hAnsi="Times New Roman"/>
          <w:color w:val="auto"/>
          <w:sz w:val="20"/>
          <w:szCs w:val="20"/>
        </w:rPr>
        <w:t xml:space="preserve">, that is, the generalised perception that the actions of the firm are desirable, proper or appropriate within some socially constructed system of norms, values, beliefs and definitions (Suchman 1995; McWilliams et al., 2006). CSR communication is also a strategic tool to make business accountable to society’s expectations and demands. This attainment of </w:t>
      </w:r>
      <w:r w:rsidRPr="00640A8F">
        <w:rPr>
          <w:rFonts w:ascii="Times New Roman" w:hAnsi="Times New Roman"/>
          <w:b/>
          <w:color w:val="auto"/>
          <w:sz w:val="20"/>
          <w:szCs w:val="20"/>
        </w:rPr>
        <w:t>legitimacy</w:t>
      </w:r>
      <w:r w:rsidRPr="00640A8F">
        <w:rPr>
          <w:rFonts w:ascii="Times New Roman" w:hAnsi="Times New Roman"/>
          <w:color w:val="auto"/>
          <w:sz w:val="20"/>
          <w:szCs w:val="20"/>
        </w:rPr>
        <w:t xml:space="preserve"> enables an organisation to function with the general consent of people and their groups (i.e., the stakeholders) (Slim 2002; Kuznetsov and Kuznetsova, 2006; Mitchell, 1989). The social role of the company, its intangible value drivers and sustainability-related achievements are strategic to</w:t>
      </w:r>
      <w:r w:rsidRPr="00640A8F">
        <w:rPr>
          <w:rFonts w:ascii="Times New Roman" w:hAnsi="Times New Roman"/>
          <w:b/>
          <w:color w:val="auto"/>
          <w:sz w:val="20"/>
          <w:szCs w:val="20"/>
        </w:rPr>
        <w:t xml:space="preserve"> corporate culture</w:t>
      </w:r>
      <w:r w:rsidRPr="00640A8F">
        <w:rPr>
          <w:rFonts w:ascii="Times New Roman" w:hAnsi="Times New Roman"/>
          <w:color w:val="auto"/>
          <w:sz w:val="20"/>
          <w:szCs w:val="20"/>
        </w:rPr>
        <w:t xml:space="preserve"> creation, and a company’s own definition of CSR participates in the establishment of corporate</w:t>
      </w:r>
      <w:r w:rsidRPr="00640A8F">
        <w:rPr>
          <w:rFonts w:ascii="Times New Roman" w:hAnsi="Times New Roman"/>
          <w:b/>
          <w:color w:val="auto"/>
          <w:sz w:val="20"/>
          <w:szCs w:val="20"/>
        </w:rPr>
        <w:t xml:space="preserve"> identity</w:t>
      </w:r>
      <w:r w:rsidRPr="00640A8F">
        <w:rPr>
          <w:rFonts w:ascii="Times New Roman" w:hAnsi="Times New Roman"/>
          <w:color w:val="auto"/>
          <w:sz w:val="20"/>
          <w:szCs w:val="20"/>
        </w:rPr>
        <w:t xml:space="preserve">. </w:t>
      </w:r>
    </w:p>
    <w:p w14:paraId="1190B00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Considering the interrelation between CSR and a company’s reputation, legitimacy and corporate culture, it is not surprising that discourse-analytic perspectives have found fertile ground in the study of CSR communication. The interest has focused on generic hybridization (e.g., the integration of promotional cues in a reporting genre; Bhatia 2012; Catenaccio 2012b), issues of self-representation and corporate identity (Bondi 2016a), as well as values and discourse strategies characterizing specific case studies (Catenaccio 2011, 2012a; Malavasi 2011; Fuoli 2012) and issues of building trust among stakeholders (Malavasi 2012; Fuoli and Paradis 2014). The genre of the CSR report has become standard and a regular online disclosure for big corporations as it provides a “privileged focus for self-representation which companies can exploit to justify their strategic choices in light of the demands of their various constituencies, thereby gaining their licence to operate” (Catenaccio 2012a: 65).</w:t>
      </w:r>
    </w:p>
    <w:p w14:paraId="76BEC64D"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This paper examines the CSR report as a corporate communication genre characterized by dynamicity, multimodality, complexity and recursivity. Its socially recognized communicative purpose is to disclose the company’s economic, environmental and social performances which are relevant to its internal and external stakeholders. </w:t>
      </w:r>
    </w:p>
    <w:p w14:paraId="0FCA612D"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The study uses a comparative approach to explore the generic features of CSR reports. Although theoretical studies on corporate social performance have been developed for over three decades (e.g. Carroll 1979), comparative studies of CSR are still rare (Williams and Aguilera 2008). An exploration of CSR from cross-national and cross-cultural perspectives can certainly be helpful in understanding how CSR is perceived in the business context of different cultures. </w:t>
      </w:r>
    </w:p>
    <w:p w14:paraId="61FEAFB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paper examines CSR reports in Italian, Chinese and English and provides an account ofn the similarities and variations regarding its generic structure, with a particular focus on the self-presentation section. </w:t>
      </w:r>
    </w:p>
    <w:p w14:paraId="02A824C7" w14:textId="77777777" w:rsidR="00A8227E" w:rsidRPr="00640A8F" w:rsidRDefault="00A8227E" w:rsidP="00A8227E">
      <w:pPr>
        <w:spacing w:after="0" w:line="240" w:lineRule="auto"/>
        <w:ind w:firstLineChars="200" w:firstLine="400"/>
        <w:jc w:val="both"/>
        <w:rPr>
          <w:rFonts w:ascii="Times New Roman" w:hAnsi="Times New Roman"/>
          <w:color w:val="auto"/>
          <w:sz w:val="20"/>
          <w:szCs w:val="20"/>
        </w:rPr>
      </w:pPr>
      <w:r w:rsidRPr="00640A8F">
        <w:rPr>
          <w:rFonts w:ascii="Times New Roman" w:hAnsi="Times New Roman"/>
          <w:color w:val="auto"/>
          <w:sz w:val="20"/>
          <w:szCs w:val="20"/>
        </w:rPr>
        <w:t>The underlying questions we address are:</w:t>
      </w:r>
    </w:p>
    <w:p w14:paraId="07978E3C" w14:textId="77777777" w:rsidR="00A8227E" w:rsidRPr="00640A8F" w:rsidRDefault="00A8227E" w:rsidP="00A8227E">
      <w:pPr>
        <w:spacing w:after="0" w:line="240" w:lineRule="auto"/>
        <w:ind w:firstLineChars="200" w:firstLine="400"/>
        <w:jc w:val="both"/>
        <w:rPr>
          <w:rFonts w:ascii="Times New Roman" w:hAnsi="Times New Roman"/>
          <w:color w:val="auto"/>
          <w:sz w:val="20"/>
          <w:szCs w:val="20"/>
        </w:rPr>
      </w:pPr>
    </w:p>
    <w:p w14:paraId="5C384028" w14:textId="77777777" w:rsidR="00A8227E" w:rsidRPr="00640A8F" w:rsidRDefault="00A8227E" w:rsidP="00A8227E">
      <w:pPr>
        <w:spacing w:after="0" w:line="240" w:lineRule="auto"/>
        <w:ind w:left="420"/>
        <w:jc w:val="both"/>
        <w:rPr>
          <w:rFonts w:ascii="Times New Roman" w:hAnsi="Times New Roman"/>
          <w:color w:val="auto"/>
          <w:sz w:val="20"/>
          <w:szCs w:val="20"/>
        </w:rPr>
      </w:pPr>
      <w:r w:rsidRPr="00640A8F">
        <w:rPr>
          <w:rFonts w:ascii="Times New Roman" w:hAnsi="Times New Roman"/>
          <w:color w:val="auto"/>
          <w:sz w:val="20"/>
          <w:szCs w:val="20"/>
        </w:rPr>
        <w:t>1. With a focus on the (macro-) generic structure of CSR reports, how can we describe the whole report in its complexity?</w:t>
      </w:r>
    </w:p>
    <w:p w14:paraId="75021D61" w14:textId="77777777" w:rsidR="00A8227E" w:rsidRPr="00640A8F" w:rsidRDefault="00A8227E" w:rsidP="00A8227E">
      <w:pPr>
        <w:spacing w:after="0" w:line="240" w:lineRule="auto"/>
        <w:ind w:left="420"/>
        <w:jc w:val="both"/>
        <w:rPr>
          <w:rFonts w:ascii="Times New Roman" w:hAnsi="Times New Roman"/>
          <w:color w:val="auto"/>
          <w:sz w:val="20"/>
          <w:szCs w:val="20"/>
        </w:rPr>
      </w:pPr>
      <w:r w:rsidRPr="00640A8F">
        <w:rPr>
          <w:rFonts w:ascii="Times New Roman" w:hAnsi="Times New Roman"/>
          <w:color w:val="auto"/>
          <w:sz w:val="20"/>
          <w:szCs w:val="20"/>
        </w:rPr>
        <w:t>2. What are the core moves of the self-(re)presentation section?</w:t>
      </w:r>
    </w:p>
    <w:p w14:paraId="6D2E0181" w14:textId="77777777" w:rsidR="00A8227E" w:rsidRPr="00640A8F" w:rsidRDefault="00A8227E" w:rsidP="00A8227E">
      <w:pPr>
        <w:spacing w:after="0" w:line="240" w:lineRule="auto"/>
        <w:ind w:left="420"/>
        <w:jc w:val="both"/>
        <w:rPr>
          <w:rFonts w:ascii="Times New Roman" w:hAnsi="Times New Roman"/>
          <w:color w:val="auto"/>
          <w:sz w:val="20"/>
          <w:szCs w:val="20"/>
        </w:rPr>
      </w:pPr>
      <w:r w:rsidRPr="00640A8F">
        <w:rPr>
          <w:rFonts w:ascii="Times New Roman" w:hAnsi="Times New Roman"/>
          <w:color w:val="auto"/>
          <w:sz w:val="20"/>
          <w:szCs w:val="20"/>
        </w:rPr>
        <w:t xml:space="preserve">3. Are there any cross-cultural similarities or variations across the Italian, Chinese, and English reports? </w:t>
      </w:r>
    </w:p>
    <w:p w14:paraId="18FCA807" w14:textId="77777777" w:rsidR="00A8227E" w:rsidRPr="00640A8F" w:rsidRDefault="00A8227E" w:rsidP="00A8227E">
      <w:pPr>
        <w:spacing w:after="0" w:line="240" w:lineRule="auto"/>
        <w:jc w:val="both"/>
        <w:rPr>
          <w:rFonts w:ascii="Times New Roman" w:hAnsi="Times New Roman"/>
          <w:color w:val="auto"/>
          <w:sz w:val="20"/>
          <w:szCs w:val="20"/>
        </w:rPr>
      </w:pPr>
    </w:p>
    <w:p w14:paraId="2FC6D941"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paper is organized as follows. Section 2 sets the background exploring the dynamicity of the genre in a micro-diachronic perspective, highlighting multimodal aspects. Section 3 presents the macro-generic structure of the CSR report. Section 4 introduces a comparative corpus in order to explore the multimodal and generic recursive features of CSR reports in Italian, English, and Chinese. The analysis investigates five textual aspects of the CSR reports: the part-genres, </w:t>
      </w:r>
      <w:r w:rsidRPr="00640A8F">
        <w:rPr>
          <w:rFonts w:ascii="Times New Roman" w:hAnsi="Times New Roman"/>
          <w:color w:val="auto"/>
          <w:sz w:val="20"/>
          <w:szCs w:val="20"/>
        </w:rPr>
        <w:lastRenderedPageBreak/>
        <w:t xml:space="preserve">the two sections of the main report, the lay-out formats, and the rhetorical moves, with a focus on the self-presentation section. The conclusions sum up the results in a discourse-analytic and cross-linguistic perspective. </w:t>
      </w:r>
    </w:p>
    <w:p w14:paraId="7A895BBD" w14:textId="77777777" w:rsidR="00A8227E" w:rsidRPr="00640A8F" w:rsidRDefault="00A8227E" w:rsidP="00A8227E">
      <w:pPr>
        <w:spacing w:after="0" w:line="240" w:lineRule="auto"/>
        <w:jc w:val="both"/>
        <w:rPr>
          <w:rFonts w:ascii="Times New Roman" w:hAnsi="Times New Roman"/>
          <w:color w:val="auto"/>
          <w:sz w:val="20"/>
          <w:szCs w:val="20"/>
        </w:rPr>
      </w:pPr>
    </w:p>
    <w:p w14:paraId="02916CA8"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2.  Background: Dynamicity, Intertextuality and the Web</w:t>
      </w:r>
    </w:p>
    <w:p w14:paraId="20021A69" w14:textId="77777777" w:rsidR="00A8227E" w:rsidRPr="00640A8F" w:rsidRDefault="00A8227E" w:rsidP="00A8227E">
      <w:pPr>
        <w:spacing w:after="0" w:line="240" w:lineRule="auto"/>
        <w:ind w:leftChars="100" w:left="220"/>
        <w:jc w:val="both"/>
        <w:rPr>
          <w:rFonts w:ascii="Times New Roman" w:hAnsi="Times New Roman"/>
          <w:color w:val="auto"/>
          <w:sz w:val="20"/>
          <w:szCs w:val="20"/>
        </w:rPr>
      </w:pPr>
    </w:p>
    <w:p w14:paraId="0BBBFC86"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CSR report is often seen as emerging from its “antecedent”, the financial annual report </w:t>
      </w:r>
      <w:bookmarkStart w:id="1" w:name="_Hlk481694074"/>
      <w:r w:rsidRPr="00640A8F">
        <w:rPr>
          <w:rFonts w:ascii="Times New Roman" w:hAnsi="Times New Roman"/>
          <w:color w:val="auto"/>
          <w:sz w:val="20"/>
          <w:szCs w:val="20"/>
        </w:rPr>
        <w:t>(Catenaccio 2012a)</w:t>
      </w:r>
      <w:bookmarkEnd w:id="1"/>
      <w:r w:rsidRPr="00640A8F">
        <w:rPr>
          <w:rFonts w:ascii="Times New Roman" w:hAnsi="Times New Roman"/>
          <w:color w:val="auto"/>
          <w:sz w:val="20"/>
          <w:szCs w:val="20"/>
        </w:rPr>
        <w:t xml:space="preserve">. These two genres are similar in rhetorical structure. For example, both genres present “management statements”, “company profiles” and “operational reviews” (de Groot 2008; Malavasi 2005). One important and essential character of the CSR report to be distinguished from the annual report is its focus on social and environmental disclosure. </w:t>
      </w:r>
    </w:p>
    <w:p w14:paraId="45D36B0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CSR report is be</w:t>
      </w:r>
      <w:r>
        <w:rPr>
          <w:rFonts w:ascii="Times New Roman" w:hAnsi="Times New Roman"/>
          <w:color w:val="auto"/>
          <w:sz w:val="20"/>
          <w:szCs w:val="20"/>
        </w:rPr>
        <w:t>com</w:t>
      </w:r>
      <w:r w:rsidRPr="00640A8F">
        <w:rPr>
          <w:rFonts w:ascii="Times New Roman" w:hAnsi="Times New Roman"/>
          <w:color w:val="auto"/>
          <w:sz w:val="20"/>
          <w:szCs w:val="20"/>
        </w:rPr>
        <w:t xml:space="preserve">ing increasingly standardized with the publication of highly influential guidelines and standards regulating CSR compliance. The Global Reporting Initiative (GRI, www.globalreporting.org) guidelines are the most commonly used standards for the compilation of CSR reports. The guidelines have been in continuous evolution ever since their first official version in the year 2000: the past ten years, for example, have seen a change from the GRI 3.0 in 2006, to the GRI 3.1 in 2011, and GRI 4.0 in 2013. The evolution of the guidelines has had significant interaction with the dynamicity of the CSR report. An example can be given by just focusing on the issue of “materiality”, i.e. deciding what issues deserve attention in the report, the </w:t>
      </w:r>
      <w:r w:rsidRPr="00640A8F">
        <w:rPr>
          <w:rFonts w:ascii="Times New Roman" w:hAnsi="Times New Roman"/>
          <w:color w:val="auto"/>
          <w:sz w:val="20"/>
          <w:szCs w:val="20"/>
          <w:shd w:val="clear" w:color="auto" w:fill="FFFFFF"/>
        </w:rPr>
        <w:t>opportunities and risks which are most important to stakeholder</w:t>
      </w:r>
      <w:r w:rsidRPr="00640A8F">
        <w:rPr>
          <w:rFonts w:ascii="Times New Roman" w:hAnsi="Times New Roman"/>
          <w:color w:val="auto"/>
          <w:sz w:val="20"/>
          <w:szCs w:val="20"/>
        </w:rPr>
        <w:t xml:space="preserve">. All the three versions of the GRI guidelines have mentioned the principles of materiality in CSR reporting, but increasing attention has been paid to the materiality with the evolution of the guidelines. One of the key changes from GRI 3.1 to GRI 4 is the more explicit emphasis on the importance of “materiality matters”. Organizations are encouraged to focus more on issues that are material to their business and their key stakeholders. </w:t>
      </w:r>
    </w:p>
    <w:p w14:paraId="5ABD0CC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Discursive evidence of this tendency can be found in small corpora of CSR reports covering the years 2007-2011 (Bondi 2016a, 2016b): the CSR-30 corpus (Bondi 2016a) comprises different sectors (beverages, technology, and pharmaceutical companies), whereas the BaCSREN and BaCSRIT corpora (Bondi 2016b) focus on the banking sector in English and Italian. All of them allow a view of micro-diachronic development. </w:t>
      </w:r>
    </w:p>
    <w:p w14:paraId="219F50EF"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Using for example the comparable corpora of banking CSR reports presented in Bondi (2016b), we notice that the frequency of occurrence of the word-form </w:t>
      </w:r>
      <w:r w:rsidRPr="00640A8F">
        <w:rPr>
          <w:rFonts w:ascii="Times New Roman" w:hAnsi="Times New Roman"/>
          <w:i/>
          <w:color w:val="auto"/>
          <w:sz w:val="20"/>
          <w:szCs w:val="20"/>
        </w:rPr>
        <w:t xml:space="preserve">materiality </w:t>
      </w:r>
      <w:r w:rsidRPr="00640A8F">
        <w:rPr>
          <w:rFonts w:ascii="Times New Roman" w:hAnsi="Times New Roman"/>
          <w:color w:val="auto"/>
          <w:sz w:val="20"/>
          <w:szCs w:val="20"/>
        </w:rPr>
        <w:t xml:space="preserve">in the English corpus increases steadily from 17 occurrences in 2007 to 26 each in 2008 and 2009, to reach 45 and 47 in 2010 and 2011 respectively. In the Italian corpus, this micro-diachronic variation is even more striking: in the whole subcorpus there are only 26 occurrences of </w:t>
      </w:r>
      <w:r w:rsidRPr="00640A8F">
        <w:rPr>
          <w:rFonts w:ascii="Times New Roman" w:hAnsi="Times New Roman"/>
          <w:i/>
          <w:color w:val="auto"/>
          <w:sz w:val="20"/>
          <w:szCs w:val="20"/>
        </w:rPr>
        <w:t>materialità</w:t>
      </w:r>
      <w:r w:rsidRPr="00640A8F">
        <w:rPr>
          <w:rFonts w:ascii="Times New Roman" w:hAnsi="Times New Roman"/>
          <w:color w:val="auto"/>
          <w:sz w:val="20"/>
          <w:szCs w:val="20"/>
        </w:rPr>
        <w:t xml:space="preserve">, all of them from the 2010 and 2011 reports. Collocates also show a movement from recalling ‘principles’ of materiality, to reference to </w:t>
      </w:r>
      <w:r w:rsidRPr="00640A8F">
        <w:rPr>
          <w:rFonts w:ascii="Times New Roman" w:hAnsi="Times New Roman"/>
          <w:i/>
          <w:color w:val="auto"/>
          <w:sz w:val="20"/>
          <w:szCs w:val="20"/>
        </w:rPr>
        <w:t>materiality</w:t>
      </w:r>
      <w:r w:rsidRPr="00640A8F">
        <w:rPr>
          <w:rFonts w:ascii="Times New Roman" w:hAnsi="Times New Roman"/>
          <w:color w:val="auto"/>
          <w:sz w:val="20"/>
          <w:szCs w:val="20"/>
        </w:rPr>
        <w:t xml:space="preserve"> </w:t>
      </w:r>
      <w:r w:rsidRPr="00640A8F">
        <w:rPr>
          <w:rFonts w:ascii="Times New Roman" w:hAnsi="Times New Roman"/>
          <w:i/>
          <w:color w:val="auto"/>
          <w:sz w:val="20"/>
          <w:szCs w:val="20"/>
        </w:rPr>
        <w:t>study/matrix/assessment</w:t>
      </w:r>
      <w:r w:rsidRPr="00640A8F">
        <w:rPr>
          <w:rFonts w:ascii="Times New Roman" w:hAnsi="Times New Roman"/>
          <w:color w:val="auto"/>
          <w:sz w:val="20"/>
          <w:szCs w:val="20"/>
        </w:rPr>
        <w:t>, thus showing a more explicit integration of the requirements of the GRI 4 guidelines.</w:t>
      </w:r>
    </w:p>
    <w:p w14:paraId="77F0AE3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emergence of the new genre has also taken place at times of extremely rapid change in the communicative resources available for business communication. Expectations as to what companies should communicate are changing with the new technological affordances and opportunities offered by the World Wide Web. CSR communication is growing into an emerging system of communicative forms that constitutes the immediate environment of the genre and determines its evolution. Business reports, CSR website areas, advertising campaigns and so on together constitute a CSR “colony”, i.e. “a constellation of several closely related genres with an overlapping communicative purpose” (Bhatia 2004: 60). </w:t>
      </w:r>
    </w:p>
    <w:p w14:paraId="6758B2E5"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advances of the communicative resources on the WWW have brought about increasing complexity in the website area on CSR issues. The interrelationship between standard “paper” (pdf) reports and online versions is becoming closer and closer: readers can even build their own individualized “paper” version on the basis of the online version. There is also increasing intertextuality between the standalone CSR report and other company documents available on line. Tools for cross-referencing are apparent evidences of intertextuality between the two sets of documents. In the BaCSREN corpus, for example, the frequency rate of cross-referencing </w:t>
      </w:r>
      <w:r w:rsidRPr="00640A8F">
        <w:rPr>
          <w:rFonts w:ascii="Times New Roman" w:hAnsi="Times New Roman"/>
          <w:i/>
          <w:color w:val="auto"/>
          <w:sz w:val="20"/>
          <w:szCs w:val="20"/>
        </w:rPr>
        <w:t>see</w:t>
      </w:r>
      <w:r w:rsidRPr="00640A8F">
        <w:rPr>
          <w:rFonts w:ascii="Times New Roman" w:hAnsi="Times New Roman"/>
          <w:color w:val="auto"/>
          <w:sz w:val="20"/>
          <w:szCs w:val="20"/>
        </w:rPr>
        <w:t xml:space="preserve"> is only minimally higher in the more recent reports: in reports of 2007-2008, its frequency rate is around 0.068%, while in 2009-2011 it is around 0.069%. The multi-sector corpus CSR_30 shows a clearer increase in frequency: in reports from 2007-2008, the frequency rate of </w:t>
      </w:r>
      <w:r w:rsidRPr="00640A8F">
        <w:rPr>
          <w:rFonts w:ascii="Times New Roman" w:hAnsi="Times New Roman"/>
          <w:i/>
          <w:color w:val="auto"/>
          <w:sz w:val="20"/>
          <w:szCs w:val="20"/>
        </w:rPr>
        <w:t xml:space="preserve">see </w:t>
      </w:r>
      <w:r w:rsidRPr="00640A8F">
        <w:rPr>
          <w:rFonts w:ascii="Times New Roman" w:hAnsi="Times New Roman"/>
          <w:color w:val="auto"/>
          <w:sz w:val="20"/>
          <w:szCs w:val="20"/>
        </w:rPr>
        <w:t>is 0.11%, while in 2009-2011, it is around 0.12%.</w:t>
      </w:r>
    </w:p>
    <w:p w14:paraId="50D3F480"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The most marked impact, however, has been on the design of the CSR report: lay-out has been improved for better electronic reading. The CSR report tends to rely more on a page-based design and on shorter blocks, which are also easily readable on e-support. Moreover, increasing multimodal elements are found in more recent reports, some of which are characterized by not only multimodality but also “hypermodality”</w:t>
      </w:r>
      <w:bookmarkStart w:id="2" w:name="_Hlk481761004"/>
      <w:r w:rsidRPr="00640A8F">
        <w:rPr>
          <w:rFonts w:ascii="Times New Roman" w:hAnsi="Times New Roman"/>
          <w:color w:val="auto"/>
          <w:sz w:val="20"/>
          <w:szCs w:val="20"/>
        </w:rPr>
        <w:t xml:space="preserve"> (Lemke 2002)</w:t>
      </w:r>
      <w:bookmarkEnd w:id="2"/>
      <w:r w:rsidRPr="00640A8F">
        <w:rPr>
          <w:rFonts w:ascii="Times New Roman" w:hAnsi="Times New Roman"/>
          <w:color w:val="auto"/>
          <w:sz w:val="20"/>
          <w:szCs w:val="20"/>
        </w:rPr>
        <w:t xml:space="preserve">, that is, an establishment of multiple interconnections among the multimodal elements. Figure 9.1 illustrates the intensified multimodality of the “contents” page in Heineken’s 2011 CSR report in comparison to its 2007 CSR report. </w:t>
      </w:r>
    </w:p>
    <w:p w14:paraId="6E57AF4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lang w:eastAsia="it-IT"/>
        </w:rPr>
        <w:object w:dxaOrig="7165" w:dyaOrig="5351" w14:anchorId="1507B9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1pt;height:268.05pt" o:ole="">
            <v:imagedata r:id="rId5" o:title=""/>
          </v:shape>
          <o:OLEObject Type="Embed" ProgID="PowerPoint.Slide.12" ShapeID="_x0000_i1025" DrawAspect="Content" ObjectID="_1612455311" r:id="rId6"/>
        </w:object>
      </w:r>
    </w:p>
    <w:p w14:paraId="34EB723C"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b/>
          <w:color w:val="auto"/>
          <w:sz w:val="20"/>
          <w:szCs w:val="20"/>
        </w:rPr>
        <w:t>Figure 9.1.</w:t>
      </w:r>
      <w:r w:rsidRPr="00640A8F">
        <w:rPr>
          <w:rFonts w:ascii="Times New Roman" w:hAnsi="Times New Roman"/>
          <w:color w:val="auto"/>
          <w:sz w:val="20"/>
          <w:szCs w:val="20"/>
        </w:rPr>
        <w:t xml:space="preserve"> </w:t>
      </w:r>
      <w:bookmarkStart w:id="3" w:name="_Hlk506730015"/>
      <w:r w:rsidRPr="00640A8F">
        <w:rPr>
          <w:rFonts w:ascii="Times New Roman" w:hAnsi="Times New Roman"/>
          <w:color w:val="auto"/>
          <w:sz w:val="20"/>
          <w:szCs w:val="20"/>
        </w:rPr>
        <w:t>“Contents” in Heineken 2007 and 2011</w:t>
      </w:r>
      <w:bookmarkEnd w:id="3"/>
    </w:p>
    <w:p w14:paraId="478A39FE" w14:textId="77777777" w:rsidR="00A8227E" w:rsidRPr="00640A8F" w:rsidRDefault="00A8227E" w:rsidP="00A8227E">
      <w:pPr>
        <w:spacing w:after="0" w:line="240" w:lineRule="auto"/>
        <w:jc w:val="both"/>
        <w:rPr>
          <w:rFonts w:ascii="Times New Roman" w:hAnsi="Times New Roman"/>
          <w:b/>
          <w:color w:val="auto"/>
          <w:sz w:val="20"/>
          <w:szCs w:val="20"/>
        </w:rPr>
      </w:pPr>
    </w:p>
    <w:p w14:paraId="1CDFA915"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3.  Methodological preliminaries: the generic structure of CSR reports</w:t>
      </w:r>
    </w:p>
    <w:p w14:paraId="4B663C02"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color w:val="auto"/>
          <w:sz w:val="20"/>
          <w:szCs w:val="20"/>
        </w:rPr>
        <w:t>The influence of antecedents, national and international guidelines, as well as the multimodal affordances of document design all contribute to determining the communicative structure and features of the CSR report as a genre. Even when focusing on specific sections</w:t>
      </w:r>
      <w:r w:rsidRPr="00640A8F">
        <w:rPr>
          <w:rFonts w:ascii="Times New Roman" w:eastAsia="Calibri" w:hAnsi="Times New Roman"/>
          <w:color w:val="auto"/>
          <w:sz w:val="20"/>
          <w:szCs w:val="20"/>
        </w:rPr>
        <w:t>, it is important to understand how the whole document is structured</w:t>
      </w:r>
      <w:r w:rsidRPr="00640A8F">
        <w:rPr>
          <w:rFonts w:ascii="Times New Roman" w:hAnsi="Times New Roman"/>
          <w:color w:val="auto"/>
          <w:sz w:val="20"/>
          <w:szCs w:val="20"/>
        </w:rPr>
        <w:t xml:space="preserve"> (Bondi 2016b).</w:t>
      </w:r>
    </w:p>
    <w:p w14:paraId="2C18E71A" w14:textId="77777777" w:rsidR="00A8227E" w:rsidRPr="00640A8F" w:rsidRDefault="00A8227E" w:rsidP="00A8227E">
      <w:pPr>
        <w:pStyle w:val="Predefinito1LTTitel"/>
        <w:jc w:val="both"/>
        <w:rPr>
          <w:rFonts w:ascii="Times New Roman" w:hAnsi="Times New Roman" w:cs="Times New Roman"/>
          <w:color w:val="auto"/>
          <w:sz w:val="20"/>
          <w:szCs w:val="20"/>
          <w:lang w:val="en-GB"/>
        </w:rPr>
      </w:pPr>
      <w:r w:rsidRPr="00640A8F">
        <w:rPr>
          <w:rFonts w:ascii="Times New Roman" w:hAnsi="Times New Roman" w:cs="Times New Roman"/>
          <w:color w:val="auto"/>
          <w:sz w:val="20"/>
          <w:szCs w:val="20"/>
          <w:lang w:val="en-GB"/>
        </w:rPr>
        <w:t>The proposed rhetorical organization of CSR reports – a complex and extended genre – is characterized by elements that have established themselves as semi-independent genres or part-genres and conventional sections and moves (often derived from the annual report). For example, the CEO’s letter and the auditor’s report are part-genres which are semi-independent from the main report. This, in turn, can be generally divided into two conventional macro-sections: one mainly deals with the general matters (self-presentation), and the other one discloses essentially specific matters (performance-reporting). In this perspective, the CSR report can be defined as a macro-genre: a “complex” genre that might involve other multiple embedded genres.</w:t>
      </w:r>
    </w:p>
    <w:p w14:paraId="5266AA2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Other features of a complex macro-genre include structural flexibility and variability. For example, the presentation of methodological issues may have different positions and functions in different CSR reports (Bondi 2016b). In some cases, it is used in one single report for more than one instance to fulfill different communicative functions. In order to manage textual complexity for the reader, CSR reports use various organizational units such as outlines, summaries, anticipation, recapitulation, and cross-referencing systems. </w:t>
      </w:r>
    </w:p>
    <w:p w14:paraId="4799C473"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As most other genres, this reporting genre is characterized by core elements and peripheral elements. The complexity</w:t>
      </w:r>
      <w:r w:rsidRPr="00640A8F">
        <w:rPr>
          <w:rFonts w:ascii="Times New Roman" w:hAnsi="Times New Roman"/>
          <w:b/>
          <w:color w:val="auto"/>
          <w:sz w:val="20"/>
          <w:szCs w:val="20"/>
        </w:rPr>
        <w:t xml:space="preserve"> </w:t>
      </w:r>
      <w:r w:rsidRPr="00640A8F">
        <w:rPr>
          <w:rFonts w:ascii="Times New Roman" w:hAnsi="Times New Roman"/>
          <w:color w:val="auto"/>
          <w:sz w:val="20"/>
          <w:szCs w:val="20"/>
        </w:rPr>
        <w:t xml:space="preserve">of the genre lies in the fact that these core and peripheral elements may have reverse importance in different sections of the report. The same moves and sequences occur in different sections, but some are distinctively connected with the main functions of the section, while the others become secondary and complementary. As an illustration, the move “Presenting values and beliefs” is core in the self-presentation section, while in the performance-reporting section it becomes peripheral. That is to say, in the latter case, it may be highly significant but not distinctive of the section, rather than used to provide the premise justifying action taken. </w:t>
      </w:r>
    </w:p>
    <w:p w14:paraId="71125168"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Furthermore, the genre of CSR report is also featured by </w:t>
      </w:r>
      <w:r w:rsidRPr="00640A8F">
        <w:rPr>
          <w:rFonts w:ascii="Times New Roman" w:hAnsi="Times New Roman"/>
          <w:b/>
          <w:color w:val="auto"/>
          <w:sz w:val="20"/>
          <w:szCs w:val="20"/>
        </w:rPr>
        <w:t>recursivity</w:t>
      </w:r>
      <w:r w:rsidRPr="00640A8F">
        <w:rPr>
          <w:rFonts w:ascii="Times New Roman" w:hAnsi="Times New Roman"/>
          <w:color w:val="auto"/>
          <w:sz w:val="20"/>
          <w:szCs w:val="20"/>
        </w:rPr>
        <w:t xml:space="preserve"> in the presentation. The same moves and sequences are recursively engaged in different positions of the report. In particular, this structural repetition is noticeable in the presentation of different specific topics on CSR performance.</w:t>
      </w:r>
    </w:p>
    <w:p w14:paraId="66C9F69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CSR report is a complex and extended genre, At the same time, it is intrinsically logical and well-organized. It can be broken down into six scalar constituent parts: blocks, part-genres, sections, macro-moves, moves, and steps. </w:t>
      </w:r>
    </w:p>
    <w:p w14:paraId="6D0704B4"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macro generic structure is illustrated in Figure 9.2. </w:t>
      </w:r>
    </w:p>
    <w:p w14:paraId="414C7084" w14:textId="77777777" w:rsidR="00A8227E" w:rsidRPr="00640A8F" w:rsidRDefault="00A8227E" w:rsidP="00A8227E">
      <w:pPr>
        <w:spacing w:after="0" w:line="240" w:lineRule="auto"/>
        <w:jc w:val="both"/>
        <w:rPr>
          <w:rFonts w:ascii="Times New Roman" w:hAnsi="Times New Roman"/>
          <w:color w:val="auto"/>
          <w:sz w:val="20"/>
          <w:szCs w:val="20"/>
        </w:rPr>
      </w:pPr>
    </w:p>
    <w:p w14:paraId="2C854D00" w14:textId="77777777" w:rsidR="00A8227E" w:rsidRPr="00640A8F" w:rsidRDefault="00A8227E" w:rsidP="00A8227E">
      <w:pPr>
        <w:spacing w:after="0" w:line="240" w:lineRule="auto"/>
        <w:jc w:val="both"/>
        <w:rPr>
          <w:rFonts w:ascii="Times New Roman" w:hAnsi="Times New Roman"/>
          <w:b/>
          <w:color w:val="auto"/>
          <w:sz w:val="20"/>
          <w:szCs w:val="20"/>
        </w:rPr>
      </w:pPr>
      <w:r w:rsidRPr="00A8227E">
        <w:rPr>
          <w:rFonts w:ascii="Times New Roman" w:hAnsi="Times New Roman"/>
          <w:noProof/>
          <w:color w:val="auto"/>
          <w:sz w:val="20"/>
          <w:szCs w:val="20"/>
          <w:lang w:val="it-IT" w:eastAsia="it-IT"/>
        </w:rPr>
        <w:lastRenderedPageBreak/>
        <w:drawing>
          <wp:inline distT="0" distB="0" distL="0" distR="0" wp14:anchorId="6B4399AD" wp14:editId="1B6B6F78">
            <wp:extent cx="4796790" cy="3395345"/>
            <wp:effectExtent l="0" t="0" r="381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4796790" cy="3395345"/>
                    </a:xfrm>
                    <a:prstGeom prst="rect">
                      <a:avLst/>
                    </a:prstGeom>
                  </pic:spPr>
                </pic:pic>
              </a:graphicData>
            </a:graphic>
          </wp:inline>
        </w:drawing>
      </w:r>
    </w:p>
    <w:p w14:paraId="10E7B2B3"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b/>
          <w:color w:val="auto"/>
          <w:sz w:val="20"/>
          <w:szCs w:val="20"/>
        </w:rPr>
        <w:t>Figure 9.2</w:t>
      </w:r>
      <w:r w:rsidRPr="00640A8F">
        <w:rPr>
          <w:rFonts w:ascii="Times New Roman" w:hAnsi="Times New Roman"/>
          <w:color w:val="auto"/>
          <w:sz w:val="20"/>
          <w:szCs w:val="20"/>
        </w:rPr>
        <w:t xml:space="preserve">. </w:t>
      </w:r>
      <w:bookmarkStart w:id="4" w:name="_Hlk506730053"/>
      <w:r w:rsidRPr="00640A8F">
        <w:rPr>
          <w:rFonts w:ascii="Times New Roman" w:hAnsi="Times New Roman"/>
          <w:color w:val="auto"/>
          <w:sz w:val="20"/>
          <w:szCs w:val="20"/>
        </w:rPr>
        <w:t xml:space="preserve">The macro generic structure of CSR reports </w:t>
      </w:r>
      <w:bookmarkEnd w:id="4"/>
      <w:r w:rsidRPr="00640A8F">
        <w:rPr>
          <w:rFonts w:ascii="Times New Roman" w:hAnsi="Times New Roman"/>
          <w:color w:val="auto"/>
          <w:sz w:val="20"/>
          <w:szCs w:val="20"/>
        </w:rPr>
        <w:t>(Adapted from Bondi [2016])</w:t>
      </w:r>
    </w:p>
    <w:p w14:paraId="23BF2B43"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p>
    <w:p w14:paraId="77EB5F96"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640A8F">
        <w:rPr>
          <w:rFonts w:ascii="Times New Roman" w:hAnsi="Times New Roman"/>
          <w:color w:val="auto"/>
          <w:kern w:val="0"/>
          <w:sz w:val="20"/>
          <w:szCs w:val="20"/>
        </w:rPr>
        <w:t xml:space="preserve">As displayed in Figure 9.2, the macro genre structure of CSR reports is generally composed by of three main blocks: the </w:t>
      </w:r>
      <w:r w:rsidRPr="00640A8F">
        <w:rPr>
          <w:rFonts w:ascii="Times New Roman" w:hAnsi="Times New Roman"/>
          <w:i/>
          <w:color w:val="auto"/>
          <w:kern w:val="0"/>
          <w:sz w:val="20"/>
          <w:szCs w:val="20"/>
        </w:rPr>
        <w:t>Preamble</w:t>
      </w:r>
      <w:r w:rsidRPr="00640A8F">
        <w:rPr>
          <w:rFonts w:ascii="Times New Roman" w:hAnsi="Times New Roman"/>
          <w:color w:val="auto"/>
          <w:kern w:val="0"/>
          <w:sz w:val="20"/>
          <w:szCs w:val="20"/>
        </w:rPr>
        <w:t xml:space="preserve">, the </w:t>
      </w:r>
      <w:r w:rsidRPr="00640A8F">
        <w:rPr>
          <w:rFonts w:ascii="Times New Roman" w:hAnsi="Times New Roman"/>
          <w:i/>
          <w:color w:val="auto"/>
          <w:kern w:val="0"/>
          <w:sz w:val="20"/>
          <w:szCs w:val="20"/>
        </w:rPr>
        <w:t>Main report</w:t>
      </w:r>
      <w:r w:rsidRPr="00640A8F">
        <w:rPr>
          <w:rFonts w:ascii="Times New Roman" w:hAnsi="Times New Roman"/>
          <w:color w:val="auto"/>
          <w:kern w:val="0"/>
          <w:sz w:val="20"/>
          <w:szCs w:val="20"/>
        </w:rPr>
        <w:t xml:space="preserve">, and the </w:t>
      </w:r>
      <w:r w:rsidRPr="00640A8F">
        <w:rPr>
          <w:rFonts w:ascii="Times New Roman" w:hAnsi="Times New Roman"/>
          <w:i/>
          <w:color w:val="auto"/>
          <w:kern w:val="0"/>
          <w:sz w:val="20"/>
          <w:szCs w:val="20"/>
        </w:rPr>
        <w:t>Corollary</w:t>
      </w:r>
      <w:r w:rsidRPr="00640A8F">
        <w:rPr>
          <w:rFonts w:ascii="Times New Roman" w:hAnsi="Times New Roman"/>
          <w:color w:val="auto"/>
          <w:kern w:val="0"/>
          <w:sz w:val="20"/>
          <w:szCs w:val="20"/>
        </w:rPr>
        <w:t xml:space="preserve">. The </w:t>
      </w:r>
      <w:r w:rsidRPr="00640A8F">
        <w:rPr>
          <w:rFonts w:ascii="Times New Roman" w:hAnsi="Times New Roman"/>
          <w:i/>
          <w:color w:val="auto"/>
          <w:kern w:val="0"/>
          <w:sz w:val="20"/>
          <w:szCs w:val="20"/>
        </w:rPr>
        <w:t>Preamble</w:t>
      </w:r>
      <w:r w:rsidRPr="00640A8F">
        <w:rPr>
          <w:rFonts w:ascii="Times New Roman" w:hAnsi="Times New Roman"/>
          <w:color w:val="auto"/>
          <w:kern w:val="0"/>
          <w:sz w:val="20"/>
          <w:szCs w:val="20"/>
        </w:rPr>
        <w:t xml:space="preserve"> is in the beginning of a CSR report. It is mainly composed by part-genres such as “Letter to stakeholders”, “Table of contents”, “Cautionary Statement”, “Preview”, and sometimes also “Methodology” and “Auditor’s report”. The </w:t>
      </w:r>
      <w:r w:rsidRPr="00640A8F">
        <w:rPr>
          <w:rFonts w:ascii="Times New Roman" w:hAnsi="Times New Roman"/>
          <w:i/>
          <w:color w:val="auto"/>
          <w:kern w:val="0"/>
          <w:sz w:val="20"/>
          <w:szCs w:val="20"/>
        </w:rPr>
        <w:t xml:space="preserve">Corollary </w:t>
      </w:r>
      <w:r w:rsidRPr="00640A8F">
        <w:rPr>
          <w:rFonts w:ascii="Times New Roman" w:hAnsi="Times New Roman"/>
          <w:color w:val="auto"/>
          <w:kern w:val="0"/>
          <w:sz w:val="20"/>
          <w:szCs w:val="20"/>
        </w:rPr>
        <w:t xml:space="preserve">is at the end of a CSR report. In this block, the frequently-used part-genres include “Methodology”, “Auditors’ report”, “Guidelines”, “Indicators”, “Appendixes with key facts”, </w:t>
      </w:r>
      <w:r w:rsidRPr="00640A8F">
        <w:rPr>
          <w:rFonts w:ascii="Times New Roman" w:hAnsi="Times New Roman"/>
          <w:color w:val="auto"/>
        </w:rPr>
        <w:t>“</w:t>
      </w:r>
      <w:r w:rsidRPr="00640A8F">
        <w:rPr>
          <w:rFonts w:ascii="Times New Roman" w:hAnsi="Times New Roman"/>
          <w:color w:val="auto"/>
          <w:kern w:val="0"/>
          <w:sz w:val="20"/>
          <w:szCs w:val="20"/>
        </w:rPr>
        <w:t>Glossary”, “Feedback”, “Supplement”, and “Summary”. The use of the part-genres mentioned above is flexible. Different combinations of part-genres in the Preamble and the Corollary can be found in different reports.</w:t>
      </w:r>
    </w:p>
    <w:p w14:paraId="1BBEEAD1"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p>
    <w:p w14:paraId="06430801"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640A8F">
        <w:rPr>
          <w:rFonts w:ascii="Times New Roman" w:hAnsi="Times New Roman"/>
          <w:b/>
          <w:color w:val="auto"/>
          <w:kern w:val="0"/>
          <w:sz w:val="20"/>
          <w:szCs w:val="20"/>
        </w:rPr>
        <w:t>4. A comparative study of CSR reports in Chinese, English and Italian</w:t>
      </w:r>
    </w:p>
    <w:p w14:paraId="5496CB0E"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4.1 Corpus and method</w:t>
      </w:r>
    </w:p>
    <w:p w14:paraId="37F8B6DF"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Using a corpus-based approach, this section provides an internal and comparative analysis of the m</w:t>
      </w:r>
      <w:r>
        <w:rPr>
          <w:rFonts w:ascii="Times New Roman" w:hAnsi="Times New Roman"/>
          <w:color w:val="auto"/>
          <w:sz w:val="20"/>
          <w:szCs w:val="20"/>
        </w:rPr>
        <w:t>ultimod</w:t>
      </w:r>
      <w:r w:rsidRPr="00640A8F">
        <w:rPr>
          <w:rFonts w:ascii="Times New Roman" w:hAnsi="Times New Roman"/>
          <w:color w:val="auto"/>
          <w:sz w:val="20"/>
          <w:szCs w:val="20"/>
        </w:rPr>
        <w:t>al and generic features of the CSR reports in the corpus CSR-ICE-T (CSR-Italian, Chinese, English-with Tags), which is composed by of three comparable subcorpora in Italian, Chinese, and English (CSR-Ita-T, CSR-Chn-T, and CSR-Eng-T). Each subcorpus consists of six CSR reports of the year 2013 published by three major energy companies and three major banks based in Italy, China, and English speaking countries (UK and USA) (See Table 9.1). The preliminary data reveals that the total tokens of the Italian subcorpus are almost double in comparison to the Chinese and English subcorpora.</w:t>
      </w:r>
    </w:p>
    <w:p w14:paraId="5B8C5A3C" w14:textId="77777777" w:rsidR="00A8227E" w:rsidRPr="00640A8F" w:rsidRDefault="00A8227E" w:rsidP="00A8227E">
      <w:pPr>
        <w:spacing w:after="0" w:line="240" w:lineRule="auto"/>
        <w:jc w:val="both"/>
        <w:rPr>
          <w:rFonts w:ascii="Times New Roman" w:hAnsi="Times New Roman"/>
          <w:color w:val="auto"/>
          <w:sz w:val="20"/>
          <w:szCs w:val="20"/>
        </w:rPr>
      </w:pPr>
    </w:p>
    <w:tbl>
      <w:tblPr>
        <w:tblW w:w="0" w:type="auto"/>
        <w:tblLook w:val="04A0" w:firstRow="1" w:lastRow="0" w:firstColumn="1" w:lastColumn="0" w:noHBand="0" w:noVBand="1"/>
      </w:tblPr>
      <w:tblGrid>
        <w:gridCol w:w="1561"/>
        <w:gridCol w:w="931"/>
        <w:gridCol w:w="2263"/>
        <w:gridCol w:w="931"/>
        <w:gridCol w:w="1416"/>
        <w:gridCol w:w="931"/>
      </w:tblGrid>
      <w:tr w:rsidR="00A8227E" w:rsidRPr="00640A8F" w14:paraId="4DEAE122" w14:textId="77777777" w:rsidTr="00C0667F">
        <w:trPr>
          <w:trHeight w:val="300"/>
        </w:trPr>
        <w:tc>
          <w:tcPr>
            <w:tcW w:w="1526" w:type="dxa"/>
            <w:tcBorders>
              <w:bottom w:val="single" w:sz="4" w:space="0" w:color="000000" w:themeColor="text1"/>
              <w:right w:val="nil"/>
            </w:tcBorders>
            <w:hideMark/>
          </w:tcPr>
          <w:p w14:paraId="326E85BE"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CSR-Ita-T</w:t>
            </w:r>
          </w:p>
        </w:tc>
        <w:tc>
          <w:tcPr>
            <w:tcW w:w="855" w:type="dxa"/>
            <w:tcBorders>
              <w:left w:val="nil"/>
              <w:bottom w:val="single" w:sz="4" w:space="0" w:color="000000" w:themeColor="text1"/>
            </w:tcBorders>
            <w:hideMark/>
          </w:tcPr>
          <w:p w14:paraId="550D8A9C" w14:textId="77777777" w:rsidR="00A8227E" w:rsidRPr="00640A8F" w:rsidRDefault="00A8227E" w:rsidP="00C0667F">
            <w:pPr>
              <w:spacing w:after="0" w:line="240" w:lineRule="auto"/>
              <w:rPr>
                <w:rFonts w:ascii="Times New Roman" w:eastAsia="SimSun" w:hAnsi="Times New Roman"/>
                <w:b/>
                <w:bCs/>
                <w:color w:val="auto"/>
              </w:rPr>
            </w:pPr>
            <w:r w:rsidRPr="00640A8F">
              <w:rPr>
                <w:rFonts w:ascii="Times New Roman" w:eastAsia="SimSun" w:hAnsi="Times New Roman"/>
                <w:b/>
                <w:bCs/>
                <w:color w:val="auto"/>
              </w:rPr>
              <w:t>Tokens</w:t>
            </w:r>
          </w:p>
        </w:tc>
        <w:tc>
          <w:tcPr>
            <w:tcW w:w="2263" w:type="dxa"/>
            <w:tcBorders>
              <w:bottom w:val="single" w:sz="4" w:space="0" w:color="000000" w:themeColor="text1"/>
              <w:right w:val="nil"/>
            </w:tcBorders>
            <w:noWrap/>
            <w:hideMark/>
          </w:tcPr>
          <w:p w14:paraId="038B728B"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CSR-Chn-T</w:t>
            </w:r>
          </w:p>
        </w:tc>
        <w:tc>
          <w:tcPr>
            <w:tcW w:w="855" w:type="dxa"/>
            <w:tcBorders>
              <w:left w:val="nil"/>
              <w:bottom w:val="single" w:sz="4" w:space="0" w:color="000000" w:themeColor="text1"/>
            </w:tcBorders>
            <w:hideMark/>
          </w:tcPr>
          <w:p w14:paraId="17B5F93E"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Tokens</w:t>
            </w:r>
          </w:p>
        </w:tc>
        <w:tc>
          <w:tcPr>
            <w:tcW w:w="1416" w:type="dxa"/>
            <w:tcBorders>
              <w:bottom w:val="single" w:sz="4" w:space="0" w:color="000000" w:themeColor="text1"/>
              <w:right w:val="nil"/>
            </w:tcBorders>
            <w:hideMark/>
          </w:tcPr>
          <w:p w14:paraId="3B278296"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CSR-Eng-T</w:t>
            </w:r>
          </w:p>
        </w:tc>
        <w:tc>
          <w:tcPr>
            <w:tcW w:w="0" w:type="auto"/>
            <w:tcBorders>
              <w:left w:val="nil"/>
              <w:bottom w:val="single" w:sz="4" w:space="0" w:color="000000" w:themeColor="text1"/>
            </w:tcBorders>
            <w:hideMark/>
          </w:tcPr>
          <w:p w14:paraId="75C97DC5" w14:textId="77777777" w:rsidR="00A8227E" w:rsidRPr="00640A8F" w:rsidRDefault="00A8227E" w:rsidP="00C0667F">
            <w:pPr>
              <w:spacing w:after="0" w:line="240" w:lineRule="auto"/>
              <w:rPr>
                <w:rFonts w:ascii="Times New Roman" w:eastAsia="SimSun" w:hAnsi="Times New Roman"/>
                <w:b/>
                <w:bCs/>
                <w:color w:val="auto"/>
              </w:rPr>
            </w:pPr>
            <w:r w:rsidRPr="00640A8F">
              <w:rPr>
                <w:rFonts w:ascii="Times New Roman" w:eastAsia="SimSun" w:hAnsi="Times New Roman"/>
                <w:b/>
                <w:bCs/>
                <w:color w:val="auto"/>
              </w:rPr>
              <w:t>Tokens</w:t>
            </w:r>
          </w:p>
        </w:tc>
      </w:tr>
      <w:tr w:rsidR="00A8227E" w:rsidRPr="00640A8F" w14:paraId="4B545EB7" w14:textId="77777777" w:rsidTr="00C0667F">
        <w:trPr>
          <w:trHeight w:val="253"/>
        </w:trPr>
        <w:tc>
          <w:tcPr>
            <w:tcW w:w="1526" w:type="dxa"/>
            <w:tcBorders>
              <w:bottom w:val="nil"/>
              <w:right w:val="nil"/>
            </w:tcBorders>
            <w:hideMark/>
          </w:tcPr>
          <w:p w14:paraId="46CBA4DA"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Edison 2013</w:t>
            </w:r>
          </w:p>
        </w:tc>
        <w:tc>
          <w:tcPr>
            <w:tcW w:w="855" w:type="dxa"/>
            <w:tcBorders>
              <w:left w:val="nil"/>
              <w:bottom w:val="nil"/>
            </w:tcBorders>
            <w:hideMark/>
          </w:tcPr>
          <w:p w14:paraId="0D800E53"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39</w:t>
            </w:r>
            <w:r w:rsidRPr="00640A8F">
              <w:rPr>
                <w:rFonts w:ascii="Times New Roman" w:hAnsi="Times New Roman"/>
                <w:color w:val="auto"/>
              </w:rPr>
              <w:t>,</w:t>
            </w:r>
            <w:r w:rsidRPr="00640A8F">
              <w:rPr>
                <w:rFonts w:ascii="Times New Roman" w:eastAsia="SimSun" w:hAnsi="Times New Roman"/>
                <w:color w:val="auto"/>
              </w:rPr>
              <w:t>619</w:t>
            </w:r>
          </w:p>
        </w:tc>
        <w:tc>
          <w:tcPr>
            <w:tcW w:w="2263" w:type="dxa"/>
            <w:tcBorders>
              <w:bottom w:val="nil"/>
              <w:right w:val="nil"/>
            </w:tcBorders>
            <w:hideMark/>
          </w:tcPr>
          <w:p w14:paraId="04B23270"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工行</w:t>
            </w:r>
            <w:r w:rsidRPr="00640A8F">
              <w:rPr>
                <w:rFonts w:ascii="Times New Roman" w:eastAsia="SimSun" w:hAnsi="Times New Roman"/>
                <w:bCs/>
                <w:color w:val="auto"/>
              </w:rPr>
              <w:t>ICBC 2013</w:t>
            </w:r>
          </w:p>
        </w:tc>
        <w:tc>
          <w:tcPr>
            <w:tcW w:w="855" w:type="dxa"/>
            <w:tcBorders>
              <w:left w:val="nil"/>
              <w:bottom w:val="nil"/>
            </w:tcBorders>
            <w:hideMark/>
          </w:tcPr>
          <w:p w14:paraId="4345B393"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20</w:t>
            </w:r>
            <w:r w:rsidRPr="00640A8F">
              <w:rPr>
                <w:rFonts w:ascii="Times New Roman" w:hAnsi="Times New Roman"/>
                <w:color w:val="auto"/>
              </w:rPr>
              <w:t>,</w:t>
            </w:r>
            <w:r w:rsidRPr="00640A8F">
              <w:rPr>
                <w:rFonts w:ascii="Times New Roman" w:eastAsia="SimSun" w:hAnsi="Times New Roman"/>
                <w:color w:val="auto"/>
              </w:rPr>
              <w:t>281</w:t>
            </w:r>
          </w:p>
        </w:tc>
        <w:tc>
          <w:tcPr>
            <w:tcW w:w="1416" w:type="dxa"/>
            <w:tcBorders>
              <w:bottom w:val="nil"/>
              <w:right w:val="nil"/>
            </w:tcBorders>
            <w:hideMark/>
          </w:tcPr>
          <w:p w14:paraId="6406F3C7"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BP 2013</w:t>
            </w:r>
          </w:p>
        </w:tc>
        <w:tc>
          <w:tcPr>
            <w:tcW w:w="0" w:type="auto"/>
            <w:tcBorders>
              <w:left w:val="nil"/>
              <w:bottom w:val="nil"/>
            </w:tcBorders>
            <w:hideMark/>
          </w:tcPr>
          <w:p w14:paraId="79C31047"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30</w:t>
            </w:r>
            <w:r w:rsidRPr="00640A8F">
              <w:rPr>
                <w:rFonts w:ascii="Times New Roman" w:hAnsi="Times New Roman"/>
                <w:color w:val="auto"/>
              </w:rPr>
              <w:t>,</w:t>
            </w:r>
            <w:r w:rsidRPr="00640A8F">
              <w:rPr>
                <w:rFonts w:ascii="Times New Roman" w:eastAsia="SimSun" w:hAnsi="Times New Roman"/>
                <w:color w:val="auto"/>
              </w:rPr>
              <w:t>262</w:t>
            </w:r>
          </w:p>
        </w:tc>
      </w:tr>
      <w:tr w:rsidR="00A8227E" w:rsidRPr="00640A8F" w14:paraId="311BFB0E" w14:textId="77777777" w:rsidTr="00C0667F">
        <w:trPr>
          <w:trHeight w:val="300"/>
        </w:trPr>
        <w:tc>
          <w:tcPr>
            <w:tcW w:w="1526" w:type="dxa"/>
            <w:tcBorders>
              <w:top w:val="nil"/>
              <w:bottom w:val="nil"/>
              <w:right w:val="nil"/>
            </w:tcBorders>
            <w:hideMark/>
          </w:tcPr>
          <w:p w14:paraId="7EC2741C"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Enel 2013</w:t>
            </w:r>
          </w:p>
        </w:tc>
        <w:tc>
          <w:tcPr>
            <w:tcW w:w="855" w:type="dxa"/>
            <w:tcBorders>
              <w:top w:val="nil"/>
              <w:left w:val="nil"/>
              <w:bottom w:val="nil"/>
            </w:tcBorders>
            <w:hideMark/>
          </w:tcPr>
          <w:p w14:paraId="04ED4A04"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59</w:t>
            </w:r>
            <w:r w:rsidRPr="00640A8F">
              <w:rPr>
                <w:rFonts w:ascii="Times New Roman" w:hAnsi="Times New Roman"/>
                <w:color w:val="auto"/>
              </w:rPr>
              <w:t>,</w:t>
            </w:r>
            <w:r w:rsidRPr="00640A8F">
              <w:rPr>
                <w:rFonts w:ascii="Times New Roman" w:eastAsia="SimSun" w:hAnsi="Times New Roman"/>
                <w:color w:val="auto"/>
              </w:rPr>
              <w:t>272</w:t>
            </w:r>
          </w:p>
        </w:tc>
        <w:tc>
          <w:tcPr>
            <w:tcW w:w="2263" w:type="dxa"/>
            <w:tcBorders>
              <w:top w:val="nil"/>
              <w:bottom w:val="nil"/>
              <w:right w:val="nil"/>
            </w:tcBorders>
            <w:hideMark/>
          </w:tcPr>
          <w:p w14:paraId="1E3D280A"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南方电网</w:t>
            </w:r>
            <w:r w:rsidRPr="00640A8F">
              <w:rPr>
                <w:rFonts w:ascii="Times New Roman" w:eastAsia="SimSun" w:hAnsi="Times New Roman"/>
                <w:bCs/>
                <w:color w:val="auto"/>
              </w:rPr>
              <w:t xml:space="preserve"> CSG2013</w:t>
            </w:r>
          </w:p>
        </w:tc>
        <w:tc>
          <w:tcPr>
            <w:tcW w:w="855" w:type="dxa"/>
            <w:tcBorders>
              <w:top w:val="nil"/>
              <w:left w:val="nil"/>
              <w:bottom w:val="nil"/>
            </w:tcBorders>
            <w:hideMark/>
          </w:tcPr>
          <w:p w14:paraId="2B35BE08"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33</w:t>
            </w:r>
            <w:r w:rsidRPr="00640A8F">
              <w:rPr>
                <w:rFonts w:ascii="Times New Roman" w:hAnsi="Times New Roman"/>
                <w:color w:val="auto"/>
              </w:rPr>
              <w:t>,</w:t>
            </w:r>
            <w:r w:rsidRPr="00640A8F">
              <w:rPr>
                <w:rFonts w:ascii="Times New Roman" w:eastAsia="SimSun" w:hAnsi="Times New Roman"/>
                <w:color w:val="auto"/>
              </w:rPr>
              <w:t>825</w:t>
            </w:r>
          </w:p>
        </w:tc>
        <w:tc>
          <w:tcPr>
            <w:tcW w:w="1416" w:type="dxa"/>
            <w:tcBorders>
              <w:top w:val="nil"/>
              <w:bottom w:val="nil"/>
              <w:right w:val="nil"/>
            </w:tcBorders>
            <w:hideMark/>
          </w:tcPr>
          <w:p w14:paraId="47C80DCD"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Citi 2013</w:t>
            </w:r>
          </w:p>
        </w:tc>
        <w:tc>
          <w:tcPr>
            <w:tcW w:w="0" w:type="auto"/>
            <w:tcBorders>
              <w:top w:val="nil"/>
              <w:left w:val="nil"/>
              <w:bottom w:val="nil"/>
            </w:tcBorders>
            <w:hideMark/>
          </w:tcPr>
          <w:p w14:paraId="60C64398"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33</w:t>
            </w:r>
            <w:r w:rsidRPr="00640A8F">
              <w:rPr>
                <w:rFonts w:ascii="Times New Roman" w:hAnsi="Times New Roman"/>
                <w:color w:val="auto"/>
              </w:rPr>
              <w:t>,</w:t>
            </w:r>
            <w:r w:rsidRPr="00640A8F">
              <w:rPr>
                <w:rFonts w:ascii="Times New Roman" w:eastAsia="SimSun" w:hAnsi="Times New Roman"/>
                <w:color w:val="auto"/>
              </w:rPr>
              <w:t>617</w:t>
            </w:r>
          </w:p>
        </w:tc>
      </w:tr>
      <w:tr w:rsidR="00A8227E" w:rsidRPr="00640A8F" w14:paraId="2BC0EC4E" w14:textId="77777777" w:rsidTr="00C0667F">
        <w:trPr>
          <w:trHeight w:val="167"/>
        </w:trPr>
        <w:tc>
          <w:tcPr>
            <w:tcW w:w="1526" w:type="dxa"/>
            <w:tcBorders>
              <w:top w:val="nil"/>
              <w:bottom w:val="nil"/>
              <w:right w:val="nil"/>
            </w:tcBorders>
            <w:hideMark/>
          </w:tcPr>
          <w:p w14:paraId="197B23F3"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Eni 2013</w:t>
            </w:r>
          </w:p>
        </w:tc>
        <w:tc>
          <w:tcPr>
            <w:tcW w:w="855" w:type="dxa"/>
            <w:tcBorders>
              <w:top w:val="nil"/>
              <w:left w:val="nil"/>
              <w:bottom w:val="nil"/>
            </w:tcBorders>
            <w:hideMark/>
          </w:tcPr>
          <w:p w14:paraId="241EEF48"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34</w:t>
            </w:r>
            <w:r w:rsidRPr="00640A8F">
              <w:rPr>
                <w:rFonts w:ascii="Times New Roman" w:hAnsi="Times New Roman"/>
                <w:color w:val="auto"/>
              </w:rPr>
              <w:t>,</w:t>
            </w:r>
            <w:r w:rsidRPr="00640A8F">
              <w:rPr>
                <w:rFonts w:ascii="Times New Roman" w:eastAsia="SimSun" w:hAnsi="Times New Roman"/>
                <w:color w:val="auto"/>
              </w:rPr>
              <w:t>905</w:t>
            </w:r>
          </w:p>
        </w:tc>
        <w:tc>
          <w:tcPr>
            <w:tcW w:w="2263" w:type="dxa"/>
            <w:tcBorders>
              <w:top w:val="nil"/>
              <w:bottom w:val="nil"/>
              <w:right w:val="nil"/>
            </w:tcBorders>
            <w:hideMark/>
          </w:tcPr>
          <w:p w14:paraId="51CE5401"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农行</w:t>
            </w:r>
            <w:r w:rsidRPr="00640A8F">
              <w:rPr>
                <w:rFonts w:ascii="Times New Roman" w:eastAsia="SimSun" w:hAnsi="Times New Roman"/>
                <w:bCs/>
                <w:color w:val="auto"/>
              </w:rPr>
              <w:t>ABC2013</w:t>
            </w:r>
          </w:p>
        </w:tc>
        <w:tc>
          <w:tcPr>
            <w:tcW w:w="855" w:type="dxa"/>
            <w:tcBorders>
              <w:top w:val="nil"/>
              <w:left w:val="nil"/>
              <w:bottom w:val="nil"/>
            </w:tcBorders>
            <w:hideMark/>
          </w:tcPr>
          <w:p w14:paraId="737982B3"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49</w:t>
            </w:r>
            <w:r w:rsidRPr="00640A8F">
              <w:rPr>
                <w:rFonts w:ascii="Times New Roman" w:hAnsi="Times New Roman"/>
                <w:color w:val="auto"/>
              </w:rPr>
              <w:t>,</w:t>
            </w:r>
            <w:r w:rsidRPr="00640A8F">
              <w:rPr>
                <w:rFonts w:ascii="Times New Roman" w:eastAsia="SimSun" w:hAnsi="Times New Roman"/>
                <w:color w:val="auto"/>
              </w:rPr>
              <w:t>211</w:t>
            </w:r>
          </w:p>
        </w:tc>
        <w:tc>
          <w:tcPr>
            <w:tcW w:w="1416" w:type="dxa"/>
            <w:tcBorders>
              <w:top w:val="nil"/>
              <w:bottom w:val="nil"/>
              <w:right w:val="nil"/>
            </w:tcBorders>
            <w:hideMark/>
          </w:tcPr>
          <w:p w14:paraId="17981327"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HSBC 2013</w:t>
            </w:r>
          </w:p>
        </w:tc>
        <w:tc>
          <w:tcPr>
            <w:tcW w:w="0" w:type="auto"/>
            <w:tcBorders>
              <w:top w:val="nil"/>
              <w:left w:val="nil"/>
              <w:bottom w:val="nil"/>
            </w:tcBorders>
            <w:hideMark/>
          </w:tcPr>
          <w:p w14:paraId="4023780A"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20</w:t>
            </w:r>
            <w:r w:rsidRPr="00640A8F">
              <w:rPr>
                <w:rFonts w:ascii="Times New Roman" w:hAnsi="Times New Roman"/>
                <w:color w:val="auto"/>
              </w:rPr>
              <w:t>,</w:t>
            </w:r>
            <w:r w:rsidRPr="00640A8F">
              <w:rPr>
                <w:rFonts w:ascii="Times New Roman" w:eastAsia="SimSun" w:hAnsi="Times New Roman"/>
                <w:color w:val="auto"/>
              </w:rPr>
              <w:t>180</w:t>
            </w:r>
          </w:p>
        </w:tc>
      </w:tr>
      <w:tr w:rsidR="00A8227E" w:rsidRPr="00640A8F" w14:paraId="60E0C794" w14:textId="77777777" w:rsidTr="00C0667F">
        <w:trPr>
          <w:trHeight w:val="289"/>
        </w:trPr>
        <w:tc>
          <w:tcPr>
            <w:tcW w:w="1526" w:type="dxa"/>
            <w:tcBorders>
              <w:top w:val="nil"/>
              <w:bottom w:val="nil"/>
              <w:right w:val="nil"/>
            </w:tcBorders>
            <w:hideMark/>
          </w:tcPr>
          <w:p w14:paraId="2336298E"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IntesaSanpaolo 2013</w:t>
            </w:r>
          </w:p>
        </w:tc>
        <w:tc>
          <w:tcPr>
            <w:tcW w:w="855" w:type="dxa"/>
            <w:tcBorders>
              <w:top w:val="nil"/>
              <w:left w:val="nil"/>
              <w:bottom w:val="nil"/>
            </w:tcBorders>
            <w:hideMark/>
          </w:tcPr>
          <w:p w14:paraId="6FE4EF6B"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49</w:t>
            </w:r>
            <w:r w:rsidRPr="00640A8F">
              <w:rPr>
                <w:rFonts w:ascii="Times New Roman" w:hAnsi="Times New Roman"/>
                <w:color w:val="auto"/>
              </w:rPr>
              <w:t>,</w:t>
            </w:r>
            <w:r w:rsidRPr="00640A8F">
              <w:rPr>
                <w:rFonts w:ascii="Times New Roman" w:eastAsia="SimSun" w:hAnsi="Times New Roman"/>
                <w:color w:val="auto"/>
              </w:rPr>
              <w:t>345</w:t>
            </w:r>
          </w:p>
        </w:tc>
        <w:tc>
          <w:tcPr>
            <w:tcW w:w="2263" w:type="dxa"/>
            <w:tcBorders>
              <w:top w:val="nil"/>
              <w:bottom w:val="nil"/>
              <w:right w:val="nil"/>
            </w:tcBorders>
            <w:hideMark/>
          </w:tcPr>
          <w:p w14:paraId="3CC1DCF9"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招行</w:t>
            </w:r>
            <w:r w:rsidRPr="00640A8F">
              <w:rPr>
                <w:rFonts w:ascii="Times New Roman" w:eastAsia="SimSun" w:hAnsi="Times New Roman"/>
                <w:bCs/>
                <w:color w:val="auto"/>
              </w:rPr>
              <w:t xml:space="preserve"> CMB 2013 </w:t>
            </w:r>
          </w:p>
        </w:tc>
        <w:tc>
          <w:tcPr>
            <w:tcW w:w="855" w:type="dxa"/>
            <w:tcBorders>
              <w:top w:val="nil"/>
              <w:left w:val="nil"/>
              <w:bottom w:val="nil"/>
            </w:tcBorders>
            <w:hideMark/>
          </w:tcPr>
          <w:p w14:paraId="74471518"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18</w:t>
            </w:r>
            <w:r w:rsidRPr="00640A8F">
              <w:rPr>
                <w:rFonts w:ascii="Times New Roman" w:hAnsi="Times New Roman"/>
                <w:color w:val="auto"/>
              </w:rPr>
              <w:t>,</w:t>
            </w:r>
            <w:r w:rsidRPr="00640A8F">
              <w:rPr>
                <w:rFonts w:ascii="Times New Roman" w:eastAsia="SimSun" w:hAnsi="Times New Roman"/>
                <w:color w:val="auto"/>
              </w:rPr>
              <w:t>981</w:t>
            </w:r>
          </w:p>
        </w:tc>
        <w:tc>
          <w:tcPr>
            <w:tcW w:w="1416" w:type="dxa"/>
            <w:tcBorders>
              <w:top w:val="nil"/>
              <w:bottom w:val="nil"/>
              <w:right w:val="nil"/>
            </w:tcBorders>
            <w:hideMark/>
          </w:tcPr>
          <w:p w14:paraId="66013559"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PSEG 2013</w:t>
            </w:r>
          </w:p>
        </w:tc>
        <w:tc>
          <w:tcPr>
            <w:tcW w:w="0" w:type="auto"/>
            <w:tcBorders>
              <w:top w:val="nil"/>
              <w:left w:val="nil"/>
              <w:bottom w:val="nil"/>
            </w:tcBorders>
            <w:hideMark/>
          </w:tcPr>
          <w:p w14:paraId="57688C72"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19</w:t>
            </w:r>
            <w:r w:rsidRPr="00640A8F">
              <w:rPr>
                <w:rFonts w:ascii="Times New Roman" w:hAnsi="Times New Roman"/>
                <w:color w:val="auto"/>
              </w:rPr>
              <w:t>,</w:t>
            </w:r>
            <w:r w:rsidRPr="00640A8F">
              <w:rPr>
                <w:rFonts w:ascii="Times New Roman" w:eastAsia="SimSun" w:hAnsi="Times New Roman"/>
                <w:color w:val="auto"/>
              </w:rPr>
              <w:t>205</w:t>
            </w:r>
          </w:p>
        </w:tc>
      </w:tr>
      <w:tr w:rsidR="00A8227E" w:rsidRPr="00640A8F" w14:paraId="5699CF81" w14:textId="77777777" w:rsidTr="00C0667F">
        <w:trPr>
          <w:trHeight w:val="283"/>
        </w:trPr>
        <w:tc>
          <w:tcPr>
            <w:tcW w:w="1526" w:type="dxa"/>
            <w:tcBorders>
              <w:top w:val="nil"/>
              <w:bottom w:val="nil"/>
              <w:right w:val="nil"/>
            </w:tcBorders>
            <w:hideMark/>
          </w:tcPr>
          <w:p w14:paraId="2A5574A0"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UBI 2013</w:t>
            </w:r>
          </w:p>
        </w:tc>
        <w:tc>
          <w:tcPr>
            <w:tcW w:w="855" w:type="dxa"/>
            <w:tcBorders>
              <w:top w:val="nil"/>
              <w:left w:val="nil"/>
              <w:bottom w:val="nil"/>
            </w:tcBorders>
            <w:hideMark/>
          </w:tcPr>
          <w:p w14:paraId="2B67DB45"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55</w:t>
            </w:r>
            <w:r w:rsidRPr="00640A8F">
              <w:rPr>
                <w:rFonts w:ascii="Times New Roman" w:hAnsi="Times New Roman"/>
                <w:color w:val="auto"/>
              </w:rPr>
              <w:t>,</w:t>
            </w:r>
            <w:r w:rsidRPr="00640A8F">
              <w:rPr>
                <w:rFonts w:ascii="Times New Roman" w:eastAsia="SimSun" w:hAnsi="Times New Roman"/>
                <w:color w:val="auto"/>
              </w:rPr>
              <w:t>670</w:t>
            </w:r>
          </w:p>
        </w:tc>
        <w:tc>
          <w:tcPr>
            <w:tcW w:w="2263" w:type="dxa"/>
            <w:tcBorders>
              <w:top w:val="nil"/>
              <w:bottom w:val="nil"/>
              <w:right w:val="nil"/>
            </w:tcBorders>
            <w:hideMark/>
          </w:tcPr>
          <w:p w14:paraId="4A53A1EF"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中海油</w:t>
            </w:r>
            <w:r w:rsidRPr="00640A8F">
              <w:rPr>
                <w:rFonts w:ascii="Times New Roman" w:eastAsia="SimSun" w:hAnsi="Times New Roman"/>
                <w:bCs/>
                <w:color w:val="auto"/>
              </w:rPr>
              <w:t xml:space="preserve"> CNOOC 2013</w:t>
            </w:r>
          </w:p>
        </w:tc>
        <w:tc>
          <w:tcPr>
            <w:tcW w:w="855" w:type="dxa"/>
            <w:tcBorders>
              <w:top w:val="nil"/>
              <w:left w:val="nil"/>
              <w:bottom w:val="nil"/>
            </w:tcBorders>
            <w:hideMark/>
          </w:tcPr>
          <w:p w14:paraId="05782CB0"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24</w:t>
            </w:r>
            <w:r w:rsidRPr="00640A8F">
              <w:rPr>
                <w:rFonts w:ascii="Times New Roman" w:hAnsi="Times New Roman"/>
                <w:color w:val="auto"/>
              </w:rPr>
              <w:t>,</w:t>
            </w:r>
            <w:r w:rsidRPr="00640A8F">
              <w:rPr>
                <w:rFonts w:ascii="Times New Roman" w:eastAsia="SimSun" w:hAnsi="Times New Roman"/>
                <w:color w:val="auto"/>
              </w:rPr>
              <w:t>971</w:t>
            </w:r>
          </w:p>
        </w:tc>
        <w:tc>
          <w:tcPr>
            <w:tcW w:w="1416" w:type="dxa"/>
            <w:tcBorders>
              <w:top w:val="nil"/>
              <w:bottom w:val="nil"/>
              <w:right w:val="nil"/>
            </w:tcBorders>
            <w:hideMark/>
          </w:tcPr>
          <w:p w14:paraId="6E570DC3"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RBS 2013</w:t>
            </w:r>
          </w:p>
        </w:tc>
        <w:tc>
          <w:tcPr>
            <w:tcW w:w="0" w:type="auto"/>
            <w:tcBorders>
              <w:top w:val="nil"/>
              <w:left w:val="nil"/>
              <w:bottom w:val="nil"/>
            </w:tcBorders>
            <w:hideMark/>
          </w:tcPr>
          <w:p w14:paraId="1CB7EA07"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22</w:t>
            </w:r>
            <w:r w:rsidRPr="00640A8F">
              <w:rPr>
                <w:rFonts w:ascii="Times New Roman" w:hAnsi="Times New Roman"/>
                <w:color w:val="auto"/>
              </w:rPr>
              <w:t>,</w:t>
            </w:r>
            <w:r w:rsidRPr="00640A8F">
              <w:rPr>
                <w:rFonts w:ascii="Times New Roman" w:eastAsia="SimSun" w:hAnsi="Times New Roman"/>
                <w:color w:val="auto"/>
              </w:rPr>
              <w:t>182</w:t>
            </w:r>
          </w:p>
        </w:tc>
      </w:tr>
      <w:tr w:rsidR="00A8227E" w:rsidRPr="00640A8F" w14:paraId="7DF238F9" w14:textId="77777777" w:rsidTr="00C0667F">
        <w:trPr>
          <w:trHeight w:val="205"/>
        </w:trPr>
        <w:tc>
          <w:tcPr>
            <w:tcW w:w="1526" w:type="dxa"/>
            <w:tcBorders>
              <w:top w:val="nil"/>
              <w:bottom w:val="single" w:sz="4" w:space="0" w:color="000000" w:themeColor="text1"/>
              <w:right w:val="nil"/>
            </w:tcBorders>
            <w:hideMark/>
          </w:tcPr>
          <w:p w14:paraId="65BA7435"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Unicredit 2013</w:t>
            </w:r>
          </w:p>
        </w:tc>
        <w:tc>
          <w:tcPr>
            <w:tcW w:w="855" w:type="dxa"/>
            <w:tcBorders>
              <w:top w:val="nil"/>
              <w:left w:val="nil"/>
              <w:bottom w:val="single" w:sz="4" w:space="0" w:color="000000" w:themeColor="text1"/>
            </w:tcBorders>
            <w:hideMark/>
          </w:tcPr>
          <w:p w14:paraId="3D09081F"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45</w:t>
            </w:r>
            <w:r w:rsidRPr="00640A8F">
              <w:rPr>
                <w:rFonts w:ascii="Times New Roman" w:hAnsi="Times New Roman"/>
                <w:color w:val="auto"/>
              </w:rPr>
              <w:t>,</w:t>
            </w:r>
            <w:r w:rsidRPr="00640A8F">
              <w:rPr>
                <w:rFonts w:ascii="Times New Roman" w:eastAsia="SimSun" w:hAnsi="Times New Roman"/>
                <w:color w:val="auto"/>
              </w:rPr>
              <w:t>822</w:t>
            </w:r>
          </w:p>
        </w:tc>
        <w:tc>
          <w:tcPr>
            <w:tcW w:w="2263" w:type="dxa"/>
            <w:tcBorders>
              <w:top w:val="nil"/>
              <w:bottom w:val="single" w:sz="4" w:space="0" w:color="000000" w:themeColor="text1"/>
              <w:right w:val="nil"/>
            </w:tcBorders>
            <w:hideMark/>
          </w:tcPr>
          <w:p w14:paraId="1E895233"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中石油集团</w:t>
            </w:r>
            <w:r w:rsidRPr="00640A8F">
              <w:rPr>
                <w:rFonts w:ascii="Times New Roman" w:eastAsia="SimSun" w:hAnsi="Times New Roman"/>
                <w:bCs/>
                <w:color w:val="auto"/>
              </w:rPr>
              <w:t xml:space="preserve"> CNPC 2013</w:t>
            </w:r>
          </w:p>
        </w:tc>
        <w:tc>
          <w:tcPr>
            <w:tcW w:w="855" w:type="dxa"/>
            <w:tcBorders>
              <w:top w:val="nil"/>
              <w:left w:val="nil"/>
              <w:bottom w:val="single" w:sz="4" w:space="0" w:color="000000" w:themeColor="text1"/>
            </w:tcBorders>
            <w:hideMark/>
          </w:tcPr>
          <w:p w14:paraId="15232634"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22</w:t>
            </w:r>
            <w:r w:rsidRPr="00640A8F">
              <w:rPr>
                <w:rFonts w:ascii="Times New Roman" w:hAnsi="Times New Roman"/>
                <w:color w:val="auto"/>
              </w:rPr>
              <w:t>,</w:t>
            </w:r>
            <w:r w:rsidRPr="00640A8F">
              <w:rPr>
                <w:rFonts w:ascii="Times New Roman" w:eastAsia="SimSun" w:hAnsi="Times New Roman"/>
                <w:color w:val="auto"/>
              </w:rPr>
              <w:t>807</w:t>
            </w:r>
          </w:p>
        </w:tc>
        <w:tc>
          <w:tcPr>
            <w:tcW w:w="1416" w:type="dxa"/>
            <w:tcBorders>
              <w:top w:val="nil"/>
              <w:bottom w:val="single" w:sz="4" w:space="0" w:color="000000" w:themeColor="text1"/>
              <w:right w:val="nil"/>
            </w:tcBorders>
            <w:hideMark/>
          </w:tcPr>
          <w:p w14:paraId="007D4ACC" w14:textId="77777777" w:rsidR="00A8227E" w:rsidRPr="00640A8F" w:rsidRDefault="00A8227E" w:rsidP="00C0667F">
            <w:pPr>
              <w:spacing w:after="0" w:line="240" w:lineRule="auto"/>
              <w:rPr>
                <w:rFonts w:ascii="Times New Roman" w:eastAsia="SimSun" w:hAnsi="Times New Roman"/>
                <w:bCs/>
                <w:color w:val="auto"/>
              </w:rPr>
            </w:pPr>
            <w:r w:rsidRPr="00640A8F">
              <w:rPr>
                <w:rFonts w:ascii="Times New Roman" w:eastAsia="SimSun" w:hAnsi="Times New Roman"/>
                <w:bCs/>
                <w:color w:val="auto"/>
              </w:rPr>
              <w:t>Shell 2013</w:t>
            </w:r>
          </w:p>
        </w:tc>
        <w:tc>
          <w:tcPr>
            <w:tcW w:w="0" w:type="auto"/>
            <w:tcBorders>
              <w:top w:val="nil"/>
              <w:left w:val="nil"/>
              <w:bottom w:val="single" w:sz="4" w:space="0" w:color="000000" w:themeColor="text1"/>
            </w:tcBorders>
            <w:hideMark/>
          </w:tcPr>
          <w:p w14:paraId="61AB2689"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32</w:t>
            </w:r>
            <w:r w:rsidRPr="00640A8F">
              <w:rPr>
                <w:rFonts w:ascii="Times New Roman" w:hAnsi="Times New Roman"/>
                <w:color w:val="auto"/>
              </w:rPr>
              <w:t>,</w:t>
            </w:r>
            <w:r w:rsidRPr="00640A8F">
              <w:rPr>
                <w:rFonts w:ascii="Times New Roman" w:eastAsia="SimSun" w:hAnsi="Times New Roman"/>
                <w:color w:val="auto"/>
              </w:rPr>
              <w:t>219</w:t>
            </w:r>
          </w:p>
        </w:tc>
      </w:tr>
      <w:tr w:rsidR="00A8227E" w:rsidRPr="00640A8F" w14:paraId="722BE05E" w14:textId="77777777" w:rsidTr="00C0667F">
        <w:trPr>
          <w:trHeight w:val="181"/>
        </w:trPr>
        <w:tc>
          <w:tcPr>
            <w:tcW w:w="1526" w:type="dxa"/>
            <w:tcBorders>
              <w:right w:val="nil"/>
            </w:tcBorders>
          </w:tcPr>
          <w:p w14:paraId="5080A0A4" w14:textId="77777777" w:rsidR="00A8227E" w:rsidRPr="00640A8F" w:rsidRDefault="00A8227E" w:rsidP="00C0667F">
            <w:pPr>
              <w:spacing w:after="0" w:line="240" w:lineRule="auto"/>
              <w:rPr>
                <w:rFonts w:ascii="Times New Roman" w:eastAsia="SimSun" w:hAnsi="Times New Roman"/>
                <w:b/>
                <w:bCs/>
                <w:color w:val="auto"/>
              </w:rPr>
            </w:pPr>
            <w:r w:rsidRPr="00640A8F">
              <w:rPr>
                <w:rFonts w:ascii="Times New Roman" w:eastAsia="SimSun" w:hAnsi="Times New Roman"/>
                <w:b/>
                <w:bCs/>
                <w:color w:val="auto"/>
              </w:rPr>
              <w:t>In total</w:t>
            </w:r>
          </w:p>
        </w:tc>
        <w:tc>
          <w:tcPr>
            <w:tcW w:w="855" w:type="dxa"/>
            <w:tcBorders>
              <w:left w:val="nil"/>
            </w:tcBorders>
          </w:tcPr>
          <w:p w14:paraId="719F9AE7"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284</w:t>
            </w:r>
            <w:r w:rsidRPr="00640A8F">
              <w:rPr>
                <w:rFonts w:ascii="Times New Roman" w:hAnsi="Times New Roman"/>
                <w:b/>
                <w:color w:val="auto"/>
              </w:rPr>
              <w:t>,</w:t>
            </w:r>
            <w:r w:rsidRPr="00640A8F">
              <w:rPr>
                <w:rFonts w:ascii="Times New Roman" w:eastAsia="SimSun" w:hAnsi="Times New Roman"/>
                <w:b/>
                <w:color w:val="auto"/>
              </w:rPr>
              <w:t>633</w:t>
            </w:r>
          </w:p>
        </w:tc>
        <w:tc>
          <w:tcPr>
            <w:tcW w:w="2263" w:type="dxa"/>
            <w:tcBorders>
              <w:right w:val="nil"/>
            </w:tcBorders>
          </w:tcPr>
          <w:p w14:paraId="13067C44" w14:textId="77777777" w:rsidR="00A8227E" w:rsidRPr="00640A8F" w:rsidRDefault="00A8227E" w:rsidP="00C0667F">
            <w:pPr>
              <w:spacing w:after="0" w:line="240" w:lineRule="auto"/>
              <w:rPr>
                <w:rFonts w:ascii="Times New Roman" w:eastAsia="SimSun" w:hAnsi="Times New Roman"/>
                <w:b/>
                <w:bCs/>
                <w:color w:val="auto"/>
              </w:rPr>
            </w:pPr>
          </w:p>
        </w:tc>
        <w:tc>
          <w:tcPr>
            <w:tcW w:w="855" w:type="dxa"/>
            <w:tcBorders>
              <w:left w:val="nil"/>
            </w:tcBorders>
          </w:tcPr>
          <w:p w14:paraId="7ADA095A"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170</w:t>
            </w:r>
            <w:r w:rsidRPr="00640A8F">
              <w:rPr>
                <w:rFonts w:ascii="Times New Roman" w:hAnsi="Times New Roman"/>
                <w:b/>
                <w:color w:val="auto"/>
              </w:rPr>
              <w:t>,</w:t>
            </w:r>
            <w:r w:rsidRPr="00640A8F">
              <w:rPr>
                <w:rFonts w:ascii="Times New Roman" w:eastAsia="SimSun" w:hAnsi="Times New Roman"/>
                <w:b/>
                <w:color w:val="auto"/>
              </w:rPr>
              <w:t>076</w:t>
            </w:r>
          </w:p>
        </w:tc>
        <w:tc>
          <w:tcPr>
            <w:tcW w:w="1416" w:type="dxa"/>
            <w:tcBorders>
              <w:right w:val="nil"/>
            </w:tcBorders>
          </w:tcPr>
          <w:p w14:paraId="19A5BAEF" w14:textId="77777777" w:rsidR="00A8227E" w:rsidRPr="00640A8F" w:rsidRDefault="00A8227E" w:rsidP="00C0667F">
            <w:pPr>
              <w:spacing w:after="0" w:line="240" w:lineRule="auto"/>
              <w:rPr>
                <w:rFonts w:ascii="Times New Roman" w:eastAsia="SimSun" w:hAnsi="Times New Roman"/>
                <w:b/>
                <w:bCs/>
                <w:color w:val="auto"/>
              </w:rPr>
            </w:pPr>
          </w:p>
        </w:tc>
        <w:tc>
          <w:tcPr>
            <w:tcW w:w="0" w:type="auto"/>
            <w:tcBorders>
              <w:left w:val="nil"/>
            </w:tcBorders>
          </w:tcPr>
          <w:p w14:paraId="06011268" w14:textId="77777777" w:rsidR="00A8227E" w:rsidRPr="00640A8F" w:rsidRDefault="00A8227E" w:rsidP="00C0667F">
            <w:pPr>
              <w:spacing w:after="0" w:line="240" w:lineRule="auto"/>
              <w:rPr>
                <w:rFonts w:ascii="Times New Roman" w:eastAsia="SimSun" w:hAnsi="Times New Roman"/>
                <w:b/>
                <w:color w:val="auto"/>
              </w:rPr>
            </w:pPr>
            <w:r w:rsidRPr="00640A8F">
              <w:rPr>
                <w:rFonts w:ascii="Times New Roman" w:eastAsia="SimSun" w:hAnsi="Times New Roman"/>
                <w:b/>
                <w:color w:val="auto"/>
              </w:rPr>
              <w:t>157</w:t>
            </w:r>
            <w:r w:rsidRPr="00640A8F">
              <w:rPr>
                <w:rFonts w:ascii="Times New Roman" w:hAnsi="Times New Roman"/>
                <w:b/>
                <w:color w:val="auto"/>
              </w:rPr>
              <w:t>,</w:t>
            </w:r>
            <w:r w:rsidRPr="00640A8F">
              <w:rPr>
                <w:rFonts w:ascii="Times New Roman" w:eastAsia="SimSun" w:hAnsi="Times New Roman"/>
                <w:b/>
                <w:color w:val="auto"/>
              </w:rPr>
              <w:t>665</w:t>
            </w:r>
          </w:p>
        </w:tc>
      </w:tr>
    </w:tbl>
    <w:p w14:paraId="184B6605"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Table 9.1.</w:t>
      </w:r>
      <w:r w:rsidRPr="00640A8F">
        <w:rPr>
          <w:rFonts w:ascii="Times New Roman" w:hAnsi="Times New Roman"/>
          <w:color w:val="auto"/>
          <w:sz w:val="20"/>
          <w:szCs w:val="20"/>
        </w:rPr>
        <w:t xml:space="preserve"> </w:t>
      </w:r>
      <w:bookmarkStart w:id="5" w:name="_Hlk506730685"/>
      <w:r w:rsidRPr="00640A8F">
        <w:rPr>
          <w:rFonts w:ascii="Times New Roman" w:hAnsi="Times New Roman"/>
          <w:color w:val="auto"/>
          <w:sz w:val="20"/>
          <w:szCs w:val="20"/>
        </w:rPr>
        <w:t>CSR-Ita-T, CSR-Chn-T, and CSR-Eng-T</w:t>
      </w:r>
      <w:r w:rsidRPr="00640A8F">
        <w:rPr>
          <w:rFonts w:ascii="Times New Roman" w:hAnsi="Times New Roman"/>
          <w:b/>
          <w:color w:val="auto"/>
          <w:sz w:val="20"/>
          <w:szCs w:val="20"/>
        </w:rPr>
        <w:tab/>
      </w:r>
      <w:bookmarkEnd w:id="5"/>
    </w:p>
    <w:p w14:paraId="1F9588A3" w14:textId="77777777" w:rsidR="00A8227E" w:rsidRPr="00640A8F" w:rsidRDefault="00A8227E" w:rsidP="00A8227E">
      <w:pPr>
        <w:spacing w:after="0" w:line="240" w:lineRule="auto"/>
        <w:jc w:val="both"/>
        <w:rPr>
          <w:rFonts w:ascii="Times New Roman" w:hAnsi="Times New Roman"/>
          <w:color w:val="auto"/>
          <w:sz w:val="20"/>
          <w:szCs w:val="20"/>
        </w:rPr>
      </w:pPr>
    </w:p>
    <w:p w14:paraId="46A79F3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For the purpose of the present study, the corpus CSR-ICE-T was fully annotated with part-genres, lay-out formats, and rhetorical moves. Moreover, the main body of the CSR reports was subdivided into the self-presentation section (SP) and performance-reporting section (PR). The present study focuses on the SP section.</w:t>
      </w:r>
    </w:p>
    <w:p w14:paraId="2794F90C"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Observing the sample CSR reports, we have identified 13 types of part-genres: </w:t>
      </w:r>
    </w:p>
    <w:p w14:paraId="19230DF0" w14:textId="77777777" w:rsidR="00A8227E" w:rsidRPr="00640A8F" w:rsidRDefault="00A8227E" w:rsidP="00A8227E">
      <w:pPr>
        <w:spacing w:after="0" w:line="240" w:lineRule="auto"/>
        <w:jc w:val="both"/>
        <w:rPr>
          <w:rFonts w:ascii="Times New Roman" w:hAnsi="Times New Roman"/>
          <w:color w:val="auto"/>
          <w:sz w:val="20"/>
          <w:szCs w:val="20"/>
        </w:rPr>
      </w:pPr>
    </w:p>
    <w:p w14:paraId="70DA7C16"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lastRenderedPageBreak/>
        <w:t>statement of decision-maker</w:t>
      </w:r>
      <w:r w:rsidRPr="00640A8F">
        <w:rPr>
          <w:rFonts w:ascii="Times New Roman" w:hAnsi="Times New Roman"/>
          <w:color w:val="auto"/>
          <w:sz w:val="20"/>
          <w:szCs w:val="20"/>
        </w:rPr>
        <w:t xml:space="preserve">, </w:t>
      </w:r>
    </w:p>
    <w:p w14:paraId="08D75846"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table of contents</w:t>
      </w:r>
      <w:r w:rsidRPr="00640A8F">
        <w:rPr>
          <w:rFonts w:ascii="Times New Roman" w:hAnsi="Times New Roman"/>
          <w:color w:val="auto"/>
          <w:sz w:val="20"/>
          <w:szCs w:val="20"/>
        </w:rPr>
        <w:t>,</w:t>
      </w:r>
    </w:p>
    <w:p w14:paraId="486227B5"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auditor's report</w:t>
      </w:r>
      <w:r w:rsidRPr="00640A8F">
        <w:rPr>
          <w:rFonts w:ascii="Times New Roman" w:hAnsi="Times New Roman"/>
          <w:color w:val="auto"/>
          <w:sz w:val="20"/>
          <w:szCs w:val="20"/>
        </w:rPr>
        <w:t xml:space="preserve">, </w:t>
      </w:r>
    </w:p>
    <w:p w14:paraId="789A2005"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guidelines</w:t>
      </w:r>
      <w:r w:rsidRPr="00640A8F">
        <w:rPr>
          <w:rFonts w:ascii="Times New Roman" w:hAnsi="Times New Roman"/>
          <w:color w:val="auto"/>
          <w:sz w:val="20"/>
          <w:szCs w:val="20"/>
        </w:rPr>
        <w:t>,</w:t>
      </w:r>
    </w:p>
    <w:p w14:paraId="4BCB54C7"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indicators</w:t>
      </w:r>
      <w:r w:rsidRPr="00640A8F">
        <w:rPr>
          <w:rFonts w:ascii="Times New Roman" w:hAnsi="Times New Roman"/>
          <w:color w:val="auto"/>
          <w:sz w:val="20"/>
          <w:szCs w:val="20"/>
        </w:rPr>
        <w:t xml:space="preserve">, </w:t>
      </w:r>
    </w:p>
    <w:p w14:paraId="528044F6"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appendix of key facts</w:t>
      </w:r>
      <w:r w:rsidRPr="00640A8F">
        <w:rPr>
          <w:rFonts w:ascii="Times New Roman" w:hAnsi="Times New Roman"/>
          <w:color w:val="auto"/>
          <w:sz w:val="20"/>
          <w:szCs w:val="20"/>
        </w:rPr>
        <w:t xml:space="preserve">, </w:t>
      </w:r>
    </w:p>
    <w:p w14:paraId="1DE27613"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glossary</w:t>
      </w:r>
      <w:r w:rsidRPr="00640A8F">
        <w:rPr>
          <w:rFonts w:ascii="Times New Roman" w:hAnsi="Times New Roman"/>
          <w:color w:val="auto"/>
          <w:sz w:val="20"/>
          <w:szCs w:val="20"/>
        </w:rPr>
        <w:t>,</w:t>
      </w:r>
      <w:r w:rsidRPr="00640A8F">
        <w:rPr>
          <w:rFonts w:ascii="Times New Roman" w:hAnsi="Times New Roman"/>
          <w:i/>
          <w:color w:val="auto"/>
          <w:sz w:val="20"/>
          <w:szCs w:val="20"/>
        </w:rPr>
        <w:t xml:space="preserve"> </w:t>
      </w:r>
    </w:p>
    <w:p w14:paraId="13D86F2D"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feedback</w:t>
      </w:r>
      <w:r w:rsidRPr="00640A8F">
        <w:rPr>
          <w:rFonts w:ascii="Times New Roman" w:hAnsi="Times New Roman"/>
          <w:color w:val="auto"/>
          <w:sz w:val="20"/>
          <w:szCs w:val="20"/>
        </w:rPr>
        <w:t>,</w:t>
      </w:r>
      <w:r w:rsidRPr="00640A8F">
        <w:rPr>
          <w:rFonts w:ascii="Times New Roman" w:hAnsi="Times New Roman"/>
          <w:i/>
          <w:color w:val="auto"/>
          <w:sz w:val="20"/>
          <w:szCs w:val="20"/>
        </w:rPr>
        <w:t xml:space="preserve"> </w:t>
      </w:r>
    </w:p>
    <w:p w14:paraId="712DD4A1"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methodology</w:t>
      </w:r>
      <w:r w:rsidRPr="00640A8F">
        <w:rPr>
          <w:rFonts w:ascii="Times New Roman" w:hAnsi="Times New Roman"/>
          <w:color w:val="auto"/>
          <w:sz w:val="20"/>
          <w:szCs w:val="20"/>
        </w:rPr>
        <w:t xml:space="preserve">, </w:t>
      </w:r>
    </w:p>
    <w:p w14:paraId="0643290A"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 xml:space="preserve"> cautionary statement</w:t>
      </w:r>
      <w:r w:rsidRPr="00640A8F">
        <w:rPr>
          <w:rFonts w:ascii="Times New Roman" w:hAnsi="Times New Roman"/>
          <w:color w:val="auto"/>
          <w:sz w:val="20"/>
          <w:szCs w:val="20"/>
        </w:rPr>
        <w:t>,</w:t>
      </w:r>
    </w:p>
    <w:p w14:paraId="598A248C"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 xml:space="preserve"> preview</w:t>
      </w:r>
      <w:r w:rsidRPr="00640A8F">
        <w:rPr>
          <w:rFonts w:ascii="Times New Roman" w:hAnsi="Times New Roman"/>
          <w:color w:val="auto"/>
          <w:sz w:val="20"/>
          <w:szCs w:val="20"/>
        </w:rPr>
        <w:t xml:space="preserve">, </w:t>
      </w:r>
    </w:p>
    <w:p w14:paraId="23A8E661"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 xml:space="preserve"> summary</w:t>
      </w:r>
      <w:r w:rsidRPr="00640A8F">
        <w:rPr>
          <w:rFonts w:ascii="Times New Roman" w:hAnsi="Times New Roman"/>
          <w:color w:val="auto"/>
          <w:sz w:val="20"/>
          <w:szCs w:val="20"/>
        </w:rPr>
        <w:t>,</w:t>
      </w:r>
      <w:r w:rsidRPr="00640A8F">
        <w:rPr>
          <w:rFonts w:ascii="Times New Roman" w:hAnsi="Times New Roman"/>
          <w:i/>
          <w:color w:val="auto"/>
          <w:sz w:val="20"/>
          <w:szCs w:val="20"/>
        </w:rPr>
        <w:t xml:space="preserve"> </w:t>
      </w:r>
    </w:p>
    <w:p w14:paraId="219AD0B6" w14:textId="77777777" w:rsidR="00A8227E" w:rsidRPr="00640A8F" w:rsidRDefault="00A8227E" w:rsidP="00A8227E">
      <w:pPr>
        <w:pStyle w:val="Paragrafoelenco"/>
        <w:widowControl w:val="0"/>
        <w:numPr>
          <w:ilvl w:val="0"/>
          <w:numId w:val="2"/>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i/>
          <w:color w:val="auto"/>
          <w:sz w:val="20"/>
          <w:szCs w:val="20"/>
        </w:rPr>
        <w:t xml:space="preserve"> supplement</w:t>
      </w:r>
      <w:r w:rsidRPr="00640A8F">
        <w:rPr>
          <w:rFonts w:ascii="Times New Roman" w:hAnsi="Times New Roman"/>
          <w:color w:val="auto"/>
          <w:sz w:val="20"/>
          <w:szCs w:val="20"/>
        </w:rPr>
        <w:t>.</w:t>
      </w:r>
    </w:p>
    <w:p w14:paraId="4B4595CE" w14:textId="77777777" w:rsidR="00A8227E" w:rsidRPr="00640A8F" w:rsidRDefault="00A8227E" w:rsidP="00A8227E">
      <w:pPr>
        <w:pStyle w:val="Paragrafoelenco"/>
        <w:spacing w:after="0" w:line="240" w:lineRule="auto"/>
        <w:ind w:left="1140"/>
        <w:jc w:val="both"/>
        <w:rPr>
          <w:rFonts w:ascii="Times New Roman" w:hAnsi="Times New Roman"/>
          <w:color w:val="auto"/>
          <w:sz w:val="20"/>
          <w:szCs w:val="20"/>
        </w:rPr>
      </w:pPr>
    </w:p>
    <w:p w14:paraId="4790E8CF"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In order to explore the discourse strategies employed to enhance readability and to manage the complexity of CSR reports, the study examines also the multimodal aspects and visual elements engaged in the genre. As discussed in literature, “</w:t>
      </w:r>
      <w:r w:rsidRPr="00640A8F">
        <w:rPr>
          <w:rFonts w:ascii="Times New Roman" w:hAnsi="Times New Roman"/>
          <w:i/>
          <w:color w:val="auto"/>
          <w:sz w:val="20"/>
          <w:szCs w:val="20"/>
        </w:rPr>
        <w:t>signs are motivated conjunctions of form and meaning</w:t>
      </w:r>
      <w:r w:rsidRPr="00640A8F">
        <w:rPr>
          <w:rFonts w:ascii="Times New Roman" w:hAnsi="Times New Roman"/>
          <w:color w:val="auto"/>
          <w:sz w:val="20"/>
          <w:szCs w:val="20"/>
        </w:rPr>
        <w:t>”, and such conjunctions are based on “</w:t>
      </w:r>
      <w:r w:rsidRPr="00640A8F">
        <w:rPr>
          <w:rFonts w:ascii="Times New Roman" w:hAnsi="Times New Roman"/>
          <w:i/>
          <w:color w:val="auto"/>
          <w:sz w:val="20"/>
          <w:szCs w:val="20"/>
        </w:rPr>
        <w:t>the interest of the sign-maker</w:t>
      </w:r>
      <w:r w:rsidRPr="00640A8F">
        <w:rPr>
          <w:rFonts w:ascii="Times New Roman" w:hAnsi="Times New Roman"/>
          <w:color w:val="auto"/>
          <w:sz w:val="20"/>
          <w:szCs w:val="20"/>
        </w:rPr>
        <w:t>” (Kress 2010: 10).</w:t>
      </w:r>
      <w:r w:rsidRPr="00640A8F">
        <w:rPr>
          <w:rFonts w:ascii="Times New Roman" w:hAnsi="Times New Roman"/>
          <w:i/>
          <w:color w:val="auto"/>
          <w:sz w:val="20"/>
          <w:szCs w:val="20"/>
        </w:rPr>
        <w:t xml:space="preserve"> </w:t>
      </w:r>
      <w:r w:rsidRPr="00640A8F">
        <w:rPr>
          <w:rFonts w:ascii="Times New Roman" w:hAnsi="Times New Roman"/>
          <w:color w:val="auto"/>
          <w:sz w:val="20"/>
          <w:szCs w:val="20"/>
        </w:rPr>
        <w:t>Visual elements are signs which carry a set of affordances and are selected by sign-makers according to their communicative needs in a given context (Kress and Van</w:t>
      </w:r>
      <w:r>
        <w:rPr>
          <w:rFonts w:ascii="Times New Roman" w:hAnsi="Times New Roman"/>
          <w:color w:val="auto"/>
          <w:sz w:val="20"/>
          <w:szCs w:val="20"/>
        </w:rPr>
        <w:t xml:space="preserve"> Leeuwen 2001). We have </w:t>
      </w:r>
      <w:r w:rsidRPr="00640A8F">
        <w:rPr>
          <w:rFonts w:ascii="Times New Roman" w:hAnsi="Times New Roman"/>
          <w:color w:val="auto"/>
          <w:sz w:val="20"/>
          <w:szCs w:val="20"/>
        </w:rPr>
        <w:t xml:space="preserve">analysed the sample CSR reports and identified nine types of visual elements, or </w:t>
      </w:r>
      <w:r w:rsidRPr="00640A8F">
        <w:rPr>
          <w:rFonts w:ascii="Times New Roman" w:hAnsi="Times New Roman"/>
          <w:i/>
          <w:color w:val="auto"/>
          <w:sz w:val="20"/>
          <w:szCs w:val="20"/>
        </w:rPr>
        <w:t>layout formats</w:t>
      </w:r>
      <w:r w:rsidRPr="00640A8F">
        <w:rPr>
          <w:rFonts w:ascii="Times New Roman" w:hAnsi="Times New Roman"/>
          <w:color w:val="auto"/>
          <w:sz w:val="20"/>
          <w:szCs w:val="20"/>
        </w:rPr>
        <w:t xml:space="preserve">: </w:t>
      </w:r>
    </w:p>
    <w:p w14:paraId="1D403966" w14:textId="77777777" w:rsidR="00A8227E" w:rsidRPr="00640A8F" w:rsidRDefault="00A8227E" w:rsidP="00A8227E">
      <w:pPr>
        <w:spacing w:after="0" w:line="240" w:lineRule="auto"/>
        <w:jc w:val="both"/>
        <w:rPr>
          <w:rFonts w:ascii="Times New Roman" w:hAnsi="Times New Roman"/>
          <w:color w:val="auto"/>
          <w:sz w:val="20"/>
          <w:szCs w:val="20"/>
        </w:rPr>
      </w:pPr>
    </w:p>
    <w:p w14:paraId="43E6BC9F"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picture and photo, </w:t>
      </w:r>
    </w:p>
    <w:p w14:paraId="05DEECF1"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heading, </w:t>
      </w:r>
    </w:p>
    <w:p w14:paraId="54349079"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lead-in, </w:t>
      </w:r>
    </w:p>
    <w:p w14:paraId="7F975143"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box, </w:t>
      </w:r>
    </w:p>
    <w:p w14:paraId="6B157957"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caption, </w:t>
      </w:r>
    </w:p>
    <w:p w14:paraId="31DCDE24"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diagram, </w:t>
      </w:r>
    </w:p>
    <w:p w14:paraId="0142D556"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table, </w:t>
      </w:r>
    </w:p>
    <w:p w14:paraId="7BFEF7F0"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column, </w:t>
      </w:r>
    </w:p>
    <w:p w14:paraId="7F7ABF20" w14:textId="77777777" w:rsidR="00A8227E" w:rsidRPr="00640A8F" w:rsidRDefault="00A8227E" w:rsidP="00A8227E">
      <w:pPr>
        <w:pStyle w:val="Paragrafoelenco"/>
        <w:widowControl w:val="0"/>
        <w:numPr>
          <w:ilvl w:val="0"/>
          <w:numId w:val="3"/>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 xml:space="preserve">magnified text segment. </w:t>
      </w:r>
    </w:p>
    <w:p w14:paraId="23032DA1" w14:textId="77777777" w:rsidR="00A8227E" w:rsidRPr="00640A8F" w:rsidRDefault="00A8227E" w:rsidP="00A8227E">
      <w:pPr>
        <w:spacing w:after="0" w:line="240" w:lineRule="auto"/>
        <w:jc w:val="both"/>
        <w:rPr>
          <w:rFonts w:ascii="Times New Roman" w:hAnsi="Times New Roman"/>
          <w:color w:val="auto"/>
          <w:sz w:val="20"/>
          <w:szCs w:val="20"/>
        </w:rPr>
      </w:pPr>
    </w:p>
    <w:p w14:paraId="4BFA4ED5"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In order to explore the rhetorical strategies of the genre, the corpus is also annotated with moves, which are identified in the light of text-internal and text-external analysis (Bhatia 2004: 114).  </w:t>
      </w:r>
    </w:p>
    <w:p w14:paraId="5CAF16F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process of annotation was aided by Note-Tab Light. The data was generated using Word-Smith 6.0.</w:t>
      </w:r>
    </w:p>
    <w:p w14:paraId="44102C63" w14:textId="77777777" w:rsidR="00A8227E" w:rsidRPr="00640A8F" w:rsidRDefault="00A8227E" w:rsidP="00A8227E">
      <w:pPr>
        <w:pStyle w:val="Corpotesto"/>
        <w:spacing w:after="0" w:line="240" w:lineRule="auto"/>
        <w:jc w:val="both"/>
        <w:rPr>
          <w:rFonts w:ascii="Times New Roman" w:hAnsi="Times New Roman"/>
          <w:b/>
          <w:color w:val="auto"/>
          <w:kern w:val="0"/>
          <w:sz w:val="20"/>
          <w:szCs w:val="20"/>
        </w:rPr>
      </w:pPr>
    </w:p>
    <w:p w14:paraId="3B83B013" w14:textId="77777777" w:rsidR="00A8227E" w:rsidRPr="00640A8F" w:rsidRDefault="00A8227E" w:rsidP="00A8227E">
      <w:pPr>
        <w:pStyle w:val="Corpotesto"/>
        <w:spacing w:after="0" w:line="240" w:lineRule="auto"/>
        <w:jc w:val="both"/>
        <w:rPr>
          <w:rFonts w:ascii="Times New Roman" w:hAnsi="Times New Roman"/>
          <w:b/>
          <w:color w:val="auto"/>
          <w:kern w:val="0"/>
          <w:sz w:val="20"/>
          <w:szCs w:val="20"/>
        </w:rPr>
      </w:pPr>
      <w:r w:rsidRPr="00640A8F">
        <w:rPr>
          <w:rFonts w:ascii="Times New Roman" w:hAnsi="Times New Roman"/>
          <w:b/>
          <w:color w:val="auto"/>
          <w:kern w:val="0"/>
          <w:sz w:val="20"/>
          <w:szCs w:val="20"/>
        </w:rPr>
        <w:t>4.2. Part genres</w:t>
      </w:r>
    </w:p>
    <w:p w14:paraId="4606A823"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Figure 9.3 presents the frequency of each part-genre across the three subcorpora. Both similarities and particularities are revealed. The main similarity across all the three languages regards the use of the “Table of contents”. Italian and English are similar in the frequency of “Preview”, “Appendix of key facts”, “Guidelines”, and “Statement of decision maker”. Italian and Chinese are similar in the frequency of “Summary” and “Indicators”. Similar frequency of the use of “Methodology” is found in Chinese and English. </w:t>
      </w:r>
    </w:p>
    <w:p w14:paraId="086D1B63"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A8227E">
        <w:rPr>
          <w:rFonts w:ascii="Times New Roman" w:hAnsi="Times New Roman"/>
          <w:noProof/>
          <w:color w:val="auto"/>
          <w:sz w:val="20"/>
          <w:szCs w:val="20"/>
          <w:lang w:val="it-IT" w:eastAsia="it-IT"/>
        </w:rPr>
        <w:lastRenderedPageBreak/>
        <w:drawing>
          <wp:inline distT="0" distB="0" distL="0" distR="0" wp14:anchorId="03A01E8C" wp14:editId="30C08D11">
            <wp:extent cx="5391150" cy="3324225"/>
            <wp:effectExtent l="19050" t="0" r="19050" b="0"/>
            <wp:docPr id="1"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CC0622E" w14:textId="77777777" w:rsidR="00A8227E" w:rsidRPr="00640A8F" w:rsidRDefault="00A8227E" w:rsidP="00A8227E">
      <w:pPr>
        <w:pStyle w:val="Corpotesto"/>
        <w:spacing w:after="0" w:line="240" w:lineRule="auto"/>
        <w:jc w:val="both"/>
        <w:rPr>
          <w:rFonts w:ascii="Times New Roman" w:hAnsi="Times New Roman"/>
          <w:b/>
          <w:bCs/>
          <w:color w:val="auto"/>
          <w:kern w:val="0"/>
          <w:sz w:val="20"/>
          <w:szCs w:val="20"/>
        </w:rPr>
      </w:pPr>
      <w:r w:rsidRPr="00640A8F">
        <w:rPr>
          <w:rFonts w:ascii="Times New Roman" w:hAnsi="Times New Roman"/>
          <w:b/>
          <w:bCs/>
          <w:color w:val="auto"/>
          <w:kern w:val="0"/>
          <w:sz w:val="20"/>
          <w:szCs w:val="20"/>
        </w:rPr>
        <w:t>Figure 9.3.</w:t>
      </w:r>
      <w:r w:rsidRPr="00640A8F">
        <w:rPr>
          <w:rFonts w:ascii="Times New Roman" w:hAnsi="Times New Roman"/>
          <w:color w:val="auto"/>
          <w:kern w:val="0"/>
          <w:sz w:val="20"/>
          <w:szCs w:val="20"/>
        </w:rPr>
        <w:t xml:space="preserve"> </w:t>
      </w:r>
      <w:bookmarkStart w:id="6" w:name="_Hlk506730789"/>
      <w:r w:rsidRPr="00640A8F">
        <w:rPr>
          <w:rFonts w:ascii="Times New Roman" w:hAnsi="Times New Roman"/>
          <w:color w:val="auto"/>
          <w:kern w:val="0"/>
          <w:sz w:val="20"/>
          <w:szCs w:val="20"/>
        </w:rPr>
        <w:t>Part-genres in CSR-Ita-T, CSR-Chn-T, and CSR-Eng-T</w:t>
      </w:r>
      <w:r w:rsidRPr="00640A8F">
        <w:rPr>
          <w:rFonts w:ascii="Times New Roman" w:hAnsi="Times New Roman"/>
          <w:b/>
          <w:bCs/>
          <w:color w:val="auto"/>
          <w:kern w:val="0"/>
          <w:sz w:val="20"/>
          <w:szCs w:val="20"/>
        </w:rPr>
        <w:t xml:space="preserve"> </w:t>
      </w:r>
      <w:bookmarkEnd w:id="6"/>
    </w:p>
    <w:p w14:paraId="5B8367E9" w14:textId="77777777" w:rsidR="00A8227E" w:rsidRPr="00640A8F" w:rsidRDefault="00A8227E" w:rsidP="00A8227E">
      <w:pPr>
        <w:pStyle w:val="Corpotesto"/>
        <w:spacing w:after="0" w:line="240" w:lineRule="auto"/>
        <w:jc w:val="both"/>
        <w:rPr>
          <w:rFonts w:ascii="Times New Roman" w:hAnsi="Times New Roman"/>
          <w:b/>
          <w:bCs/>
          <w:color w:val="auto"/>
          <w:kern w:val="0"/>
          <w:sz w:val="20"/>
          <w:szCs w:val="20"/>
        </w:rPr>
      </w:pPr>
    </w:p>
    <w:p w14:paraId="5B36306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Generally speaking, in the sample there are more Italo-Anglo similarities than Sino-Italo and Sino-Anglo similarities in terms of the application of part-genres. Particularities regarding the inclination or disinclination towards the adoption of certain part-genres are present. The Italian companies in the sample have an inclination for the use of methodological statements, supplements, and auditor’s reports, while showing a disinclination for “Feedback” (not even one instance). The Chinese companies are characterized by higher frequency of management statements, and references to feedbacks and glossaries. The English CSR reports show a preference for “Cautionary statement”, which was not used in either in the Italian reports or in the Chinese reports in the sample.</w:t>
      </w:r>
      <w:r w:rsidRPr="00640A8F">
        <w:rPr>
          <w:rFonts w:ascii="Times New Roman" w:hAnsi="Times New Roman"/>
          <w:color w:val="auto"/>
          <w:sz w:val="20"/>
          <w:szCs w:val="20"/>
        </w:rPr>
        <w:tab/>
      </w:r>
    </w:p>
    <w:p w14:paraId="48EAF82B" w14:textId="77777777" w:rsidR="00A8227E" w:rsidRPr="00640A8F" w:rsidRDefault="00A8227E" w:rsidP="00A8227E">
      <w:pPr>
        <w:spacing w:after="0" w:line="240" w:lineRule="auto"/>
        <w:jc w:val="both"/>
        <w:rPr>
          <w:rFonts w:ascii="Times New Roman" w:hAnsi="Times New Roman"/>
          <w:color w:val="auto"/>
          <w:sz w:val="20"/>
          <w:szCs w:val="20"/>
        </w:rPr>
      </w:pPr>
    </w:p>
    <w:p w14:paraId="793F57EB" w14:textId="77777777" w:rsidR="00A8227E" w:rsidRPr="00640A8F" w:rsidRDefault="00A8227E" w:rsidP="00A8227E">
      <w:pPr>
        <w:pStyle w:val="Corpotesto"/>
        <w:spacing w:after="0" w:line="240" w:lineRule="auto"/>
        <w:jc w:val="both"/>
        <w:rPr>
          <w:rFonts w:ascii="Times New Roman" w:hAnsi="Times New Roman"/>
          <w:b/>
          <w:color w:val="auto"/>
          <w:kern w:val="0"/>
          <w:sz w:val="20"/>
          <w:szCs w:val="20"/>
        </w:rPr>
      </w:pPr>
      <w:r w:rsidRPr="00640A8F">
        <w:rPr>
          <w:rFonts w:ascii="Times New Roman" w:hAnsi="Times New Roman"/>
          <w:b/>
          <w:color w:val="auto"/>
          <w:kern w:val="0"/>
          <w:sz w:val="20"/>
          <w:szCs w:val="20"/>
        </w:rPr>
        <w:t>4.3 The main report and the two sections</w:t>
      </w:r>
    </w:p>
    <w:p w14:paraId="0E1CCB75"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p>
    <w:p w14:paraId="01B60F5D"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640A8F">
        <w:rPr>
          <w:rFonts w:ascii="Times New Roman" w:hAnsi="Times New Roman"/>
          <w:color w:val="auto"/>
          <w:kern w:val="0"/>
          <w:sz w:val="20"/>
          <w:szCs w:val="20"/>
        </w:rPr>
        <w:t xml:space="preserve">While the </w:t>
      </w:r>
      <w:r w:rsidRPr="00640A8F">
        <w:rPr>
          <w:rFonts w:ascii="Times New Roman" w:hAnsi="Times New Roman"/>
          <w:i/>
          <w:color w:val="auto"/>
          <w:kern w:val="0"/>
          <w:sz w:val="20"/>
          <w:szCs w:val="20"/>
        </w:rPr>
        <w:t xml:space="preserve">Corollary </w:t>
      </w:r>
      <w:r w:rsidRPr="00640A8F">
        <w:rPr>
          <w:rFonts w:ascii="Times New Roman" w:hAnsi="Times New Roman"/>
          <w:color w:val="auto"/>
          <w:kern w:val="0"/>
          <w:sz w:val="20"/>
          <w:szCs w:val="20"/>
        </w:rPr>
        <w:t xml:space="preserve">and the </w:t>
      </w:r>
      <w:r w:rsidRPr="00640A8F">
        <w:rPr>
          <w:rFonts w:ascii="Times New Roman" w:hAnsi="Times New Roman"/>
          <w:i/>
          <w:color w:val="auto"/>
          <w:kern w:val="0"/>
          <w:sz w:val="20"/>
          <w:szCs w:val="20"/>
        </w:rPr>
        <w:t xml:space="preserve">Preamble </w:t>
      </w:r>
      <w:r w:rsidRPr="00640A8F">
        <w:rPr>
          <w:rFonts w:ascii="Times New Roman" w:hAnsi="Times New Roman"/>
          <w:color w:val="auto"/>
          <w:kern w:val="0"/>
          <w:sz w:val="20"/>
          <w:szCs w:val="20"/>
        </w:rPr>
        <w:t xml:space="preserve">are characterized by part-genres, the </w:t>
      </w:r>
      <w:r w:rsidRPr="00640A8F">
        <w:rPr>
          <w:rFonts w:ascii="Times New Roman" w:hAnsi="Times New Roman"/>
          <w:i/>
          <w:color w:val="auto"/>
          <w:kern w:val="0"/>
          <w:sz w:val="20"/>
          <w:szCs w:val="20"/>
        </w:rPr>
        <w:t xml:space="preserve">Main report </w:t>
      </w:r>
      <w:r w:rsidRPr="00640A8F">
        <w:rPr>
          <w:rFonts w:ascii="Times New Roman" w:hAnsi="Times New Roman"/>
          <w:color w:val="auto"/>
          <w:kern w:val="0"/>
          <w:sz w:val="20"/>
          <w:szCs w:val="20"/>
        </w:rPr>
        <w:t xml:space="preserve">is composed by two sections: the </w:t>
      </w:r>
      <w:r w:rsidRPr="00640A8F">
        <w:rPr>
          <w:rFonts w:ascii="Times New Roman" w:hAnsi="Times New Roman"/>
          <w:i/>
          <w:color w:val="auto"/>
          <w:kern w:val="0"/>
          <w:sz w:val="20"/>
          <w:szCs w:val="20"/>
        </w:rPr>
        <w:t xml:space="preserve">Self-presentation </w:t>
      </w:r>
      <w:r w:rsidRPr="00640A8F">
        <w:rPr>
          <w:rFonts w:ascii="Times New Roman" w:hAnsi="Times New Roman"/>
          <w:color w:val="auto"/>
          <w:kern w:val="0"/>
          <w:sz w:val="20"/>
          <w:szCs w:val="20"/>
        </w:rPr>
        <w:t xml:space="preserve">(SP) section and the </w:t>
      </w:r>
      <w:r w:rsidRPr="00640A8F">
        <w:rPr>
          <w:rFonts w:ascii="Times New Roman" w:hAnsi="Times New Roman"/>
          <w:i/>
          <w:color w:val="auto"/>
          <w:kern w:val="0"/>
          <w:sz w:val="20"/>
          <w:szCs w:val="20"/>
        </w:rPr>
        <w:t xml:space="preserve">Performance-reporting </w:t>
      </w:r>
      <w:r w:rsidRPr="00640A8F">
        <w:rPr>
          <w:rFonts w:ascii="Times New Roman" w:hAnsi="Times New Roman"/>
          <w:color w:val="auto"/>
          <w:kern w:val="0"/>
          <w:sz w:val="20"/>
          <w:szCs w:val="20"/>
        </w:rPr>
        <w:t>(PR) section. The SP section is usually prior to the PR section. The SP section presents the corporate identity and corporate governance, which can include information related to the company’s history, context, strategies, projects, governance, and stakeholders. The PR section presents the company’s performance in economic, social and, environmental aspects, and the outlook for the future performance. The SP section ha</w:t>
      </w:r>
      <w:r>
        <w:rPr>
          <w:rFonts w:ascii="Times New Roman" w:hAnsi="Times New Roman"/>
          <w:color w:val="auto"/>
          <w:kern w:val="0"/>
          <w:sz w:val="20"/>
          <w:szCs w:val="20"/>
        </w:rPr>
        <w:t xml:space="preserve">s the main function of </w:t>
      </w:r>
      <w:r w:rsidRPr="00640A8F">
        <w:rPr>
          <w:rFonts w:ascii="Times New Roman" w:hAnsi="Times New Roman"/>
          <w:color w:val="auto"/>
          <w:kern w:val="0"/>
          <w:sz w:val="20"/>
          <w:szCs w:val="20"/>
        </w:rPr>
        <w:t>signalling organizational assets, missions, and visions; signalling understanding of CSR; and establishing credentials. The PR section aims at detailing good practice (and developing identity), reporting performance in prescribed sectors, assessing impacts, and predicting or committing to future performance.</w:t>
      </w:r>
    </w:p>
    <w:p w14:paraId="40781DAE"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640A8F">
        <w:rPr>
          <w:rFonts w:ascii="Times New Roman" w:hAnsi="Times New Roman"/>
          <w:color w:val="auto"/>
          <w:kern w:val="0"/>
          <w:sz w:val="20"/>
          <w:szCs w:val="20"/>
        </w:rPr>
        <w:t>Figure 9.4 illustrates the relative proportion of the SP section and to the PR section in the sample corpus. Across all the three languages, the dimension of the SP section is noticeably lower in comparison to the PR section, accounting for 19% in Italian, 14% in Chinese, and 23% in English.</w:t>
      </w:r>
    </w:p>
    <w:p w14:paraId="5B176D36"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p>
    <w:p w14:paraId="2CC588A9"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A8227E">
        <w:rPr>
          <w:rFonts w:ascii="Times New Roman" w:hAnsi="Times New Roman"/>
          <w:noProof/>
          <w:color w:val="auto"/>
          <w:sz w:val="20"/>
          <w:szCs w:val="20"/>
          <w:lang w:val="it-IT" w:eastAsia="it-IT"/>
        </w:rPr>
        <w:lastRenderedPageBreak/>
        <w:drawing>
          <wp:inline distT="0" distB="0" distL="0" distR="0" wp14:anchorId="47925CEB" wp14:editId="55038C1F">
            <wp:extent cx="4819650" cy="2638425"/>
            <wp:effectExtent l="19050" t="0" r="19050" b="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1187F48" w14:textId="77777777" w:rsidR="00A8227E" w:rsidRPr="00640A8F" w:rsidRDefault="00A8227E" w:rsidP="00A8227E">
      <w:pPr>
        <w:pStyle w:val="Corpotesto"/>
        <w:spacing w:after="0" w:line="240" w:lineRule="auto"/>
        <w:jc w:val="both"/>
        <w:rPr>
          <w:rFonts w:ascii="Times New Roman" w:hAnsi="Times New Roman"/>
          <w:color w:val="auto"/>
          <w:kern w:val="0"/>
          <w:sz w:val="20"/>
          <w:szCs w:val="20"/>
        </w:rPr>
      </w:pPr>
      <w:r w:rsidRPr="00640A8F">
        <w:rPr>
          <w:rFonts w:ascii="Times New Roman" w:hAnsi="Times New Roman"/>
          <w:b/>
          <w:color w:val="auto"/>
          <w:kern w:val="0"/>
          <w:sz w:val="20"/>
          <w:szCs w:val="20"/>
        </w:rPr>
        <w:t>Figure 9.4</w:t>
      </w:r>
      <w:r w:rsidRPr="00640A8F">
        <w:rPr>
          <w:rFonts w:ascii="Times New Roman" w:hAnsi="Times New Roman"/>
          <w:color w:val="auto"/>
          <w:kern w:val="0"/>
          <w:sz w:val="20"/>
          <w:szCs w:val="20"/>
        </w:rPr>
        <w:t xml:space="preserve">. </w:t>
      </w:r>
      <w:bookmarkStart w:id="7" w:name="_Hlk506730916"/>
      <w:r w:rsidRPr="00640A8F">
        <w:rPr>
          <w:rFonts w:ascii="Times New Roman" w:hAnsi="Times New Roman"/>
          <w:color w:val="auto"/>
          <w:kern w:val="0"/>
          <w:sz w:val="20"/>
          <w:szCs w:val="20"/>
        </w:rPr>
        <w:t>Tokens of the SP section and the PR section</w:t>
      </w:r>
      <w:bookmarkEnd w:id="7"/>
    </w:p>
    <w:p w14:paraId="13D7B65D" w14:textId="77777777" w:rsidR="00A8227E" w:rsidRPr="00640A8F" w:rsidRDefault="00A8227E" w:rsidP="00A8227E">
      <w:pPr>
        <w:pStyle w:val="Corpotesto"/>
        <w:spacing w:after="0" w:line="240" w:lineRule="auto"/>
        <w:jc w:val="both"/>
        <w:rPr>
          <w:rFonts w:ascii="Times New Roman" w:hAnsi="Times New Roman"/>
          <w:b/>
          <w:color w:val="auto"/>
          <w:kern w:val="0"/>
          <w:sz w:val="20"/>
          <w:szCs w:val="20"/>
        </w:rPr>
      </w:pPr>
    </w:p>
    <w:p w14:paraId="557BD305" w14:textId="77777777" w:rsidR="00A8227E" w:rsidRPr="00640A8F" w:rsidRDefault="00A8227E" w:rsidP="00A8227E">
      <w:pPr>
        <w:pStyle w:val="Corpotesto"/>
        <w:spacing w:after="0" w:line="240" w:lineRule="auto"/>
        <w:jc w:val="both"/>
        <w:rPr>
          <w:rFonts w:ascii="Times New Roman" w:hAnsi="Times New Roman"/>
          <w:b/>
          <w:color w:val="auto"/>
          <w:kern w:val="0"/>
          <w:sz w:val="20"/>
          <w:szCs w:val="20"/>
        </w:rPr>
      </w:pPr>
      <w:r w:rsidRPr="00640A8F">
        <w:rPr>
          <w:rFonts w:ascii="Times New Roman" w:hAnsi="Times New Roman"/>
          <w:b/>
          <w:color w:val="auto"/>
          <w:kern w:val="0"/>
          <w:sz w:val="20"/>
          <w:szCs w:val="20"/>
        </w:rPr>
        <w:t>Macro-moves, moves, and steps</w:t>
      </w:r>
    </w:p>
    <w:p w14:paraId="0A5B3A5D" w14:textId="77777777" w:rsidR="00A8227E" w:rsidRPr="00640A8F" w:rsidRDefault="00A8227E" w:rsidP="00A8227E">
      <w:pPr>
        <w:spacing w:after="0" w:line="240" w:lineRule="auto"/>
        <w:jc w:val="both"/>
        <w:rPr>
          <w:rFonts w:ascii="Times New Roman" w:hAnsi="Times New Roman"/>
          <w:color w:val="auto"/>
          <w:sz w:val="20"/>
          <w:szCs w:val="20"/>
        </w:rPr>
      </w:pPr>
      <w:r>
        <w:rPr>
          <w:rFonts w:ascii="Times New Roman" w:hAnsi="Times New Roman"/>
          <w:color w:val="auto"/>
          <w:sz w:val="20"/>
          <w:szCs w:val="20"/>
        </w:rPr>
        <w:t xml:space="preserve">The two sections are composed </w:t>
      </w:r>
      <w:r w:rsidRPr="00640A8F">
        <w:rPr>
          <w:rFonts w:ascii="Times New Roman" w:hAnsi="Times New Roman"/>
          <w:color w:val="auto"/>
          <w:sz w:val="20"/>
          <w:szCs w:val="20"/>
        </w:rPr>
        <w:t>of four macro-moves: “Presenting the company</w:t>
      </w:r>
      <w:r w:rsidRPr="00640A8F">
        <w:rPr>
          <w:rFonts w:ascii="Times New Roman" w:hAnsi="Times New Roman"/>
          <w:i/>
          <w:color w:val="auto"/>
          <w:sz w:val="20"/>
          <w:szCs w:val="20"/>
        </w:rPr>
        <w:t>”</w:t>
      </w:r>
      <w:r w:rsidRPr="00640A8F">
        <w:rPr>
          <w:rFonts w:ascii="Times New Roman" w:hAnsi="Times New Roman"/>
          <w:color w:val="auto"/>
          <w:sz w:val="20"/>
          <w:szCs w:val="20"/>
        </w:rPr>
        <w:t>, “Presenting the company’s CSR strategy”, “Reporting on the company’s CSR activities and performance”, and “Situating the context</w:t>
      </w:r>
      <w:bookmarkStart w:id="8" w:name="_Hlk481694075"/>
      <w:r w:rsidRPr="00640A8F">
        <w:rPr>
          <w:rFonts w:ascii="Times New Roman" w:hAnsi="Times New Roman"/>
          <w:color w:val="auto"/>
          <w:sz w:val="20"/>
          <w:szCs w:val="20"/>
        </w:rPr>
        <w:t>”</w:t>
      </w:r>
      <w:r w:rsidRPr="00640A8F">
        <w:rPr>
          <w:rFonts w:ascii="Times New Roman" w:hAnsi="Times New Roman"/>
          <w:i/>
          <w:color w:val="auto"/>
          <w:sz w:val="20"/>
          <w:szCs w:val="20"/>
        </w:rPr>
        <w:t xml:space="preserve"> </w:t>
      </w:r>
      <w:r w:rsidRPr="00640A8F">
        <w:rPr>
          <w:rFonts w:ascii="Times New Roman" w:hAnsi="Times New Roman"/>
          <w:color w:val="auto"/>
          <w:sz w:val="20"/>
          <w:szCs w:val="20"/>
        </w:rPr>
        <w:t>(Yu and Bondi, 2017)</w:t>
      </w:r>
      <w:bookmarkEnd w:id="8"/>
      <w:r w:rsidRPr="00640A8F">
        <w:rPr>
          <w:rFonts w:ascii="Times New Roman" w:hAnsi="Times New Roman"/>
          <w:color w:val="auto"/>
          <w:sz w:val="20"/>
          <w:szCs w:val="20"/>
        </w:rPr>
        <w:t>. The macro-moves are realized by recursive moves and steps, which will be further investigated in Sections 4.5 and 4.6.</w:t>
      </w:r>
    </w:p>
    <w:p w14:paraId="68DAC990" w14:textId="77777777" w:rsidR="00A8227E" w:rsidRPr="00640A8F" w:rsidRDefault="00A8227E" w:rsidP="00A8227E">
      <w:pPr>
        <w:spacing w:after="0" w:line="240" w:lineRule="auto"/>
        <w:jc w:val="both"/>
        <w:rPr>
          <w:rFonts w:ascii="Times New Roman" w:hAnsi="Times New Roman"/>
          <w:color w:val="auto"/>
          <w:sz w:val="20"/>
          <w:szCs w:val="20"/>
        </w:rPr>
      </w:pPr>
    </w:p>
    <w:p w14:paraId="2C7399F7"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4.4 Lay-out formats</w:t>
      </w:r>
    </w:p>
    <w:p w14:paraId="69E66DD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Several discursive techniques have been employed in CSR reports to deal with the genre complexity. One important toolkit to help enhance the readability of the text is the use of </w:t>
      </w:r>
      <w:r w:rsidRPr="00640A8F">
        <w:rPr>
          <w:rFonts w:ascii="Times New Roman" w:hAnsi="Times New Roman"/>
          <w:b/>
          <w:color w:val="auto"/>
          <w:sz w:val="20"/>
          <w:szCs w:val="20"/>
        </w:rPr>
        <w:t>multimodality</w:t>
      </w:r>
      <w:r w:rsidRPr="00640A8F">
        <w:rPr>
          <w:rFonts w:ascii="Times New Roman" w:hAnsi="Times New Roman"/>
          <w:color w:val="auto"/>
          <w:sz w:val="20"/>
          <w:szCs w:val="20"/>
        </w:rPr>
        <w:t>, with reference to the influence of the visual units of the page in the design of the document. The visual units identified in the sample include not only pictures and photos, but also other layout formats such as headings, lead-ins, boxes, captions, diagrams, tables, columns, and magnified text segments (see Figure 9.5 for examples).</w:t>
      </w:r>
    </w:p>
    <w:p w14:paraId="481104DC"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 </w:t>
      </w:r>
      <w:r w:rsidRPr="00A8227E">
        <w:rPr>
          <w:rFonts w:ascii="Times New Roman" w:hAnsi="Times New Roman"/>
          <w:noProof/>
          <w:color w:val="auto"/>
          <w:sz w:val="20"/>
          <w:szCs w:val="20"/>
          <w:lang w:val="it-IT" w:eastAsia="it-IT"/>
        </w:rPr>
        <w:drawing>
          <wp:inline distT="0" distB="0" distL="0" distR="0" wp14:anchorId="0423588F" wp14:editId="5B090A83">
            <wp:extent cx="4796790" cy="4023598"/>
            <wp:effectExtent l="19050" t="0" r="381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srcRect/>
                    <a:stretch>
                      <a:fillRect/>
                    </a:stretch>
                  </pic:blipFill>
                  <pic:spPr bwMode="auto">
                    <a:xfrm>
                      <a:off x="0" y="0"/>
                      <a:ext cx="4796790" cy="4023598"/>
                    </a:xfrm>
                    <a:prstGeom prst="rect">
                      <a:avLst/>
                    </a:prstGeom>
                    <a:noFill/>
                    <a:ln w="9525">
                      <a:noFill/>
                      <a:miter lim="800000"/>
                      <a:headEnd/>
                      <a:tailEnd/>
                    </a:ln>
                  </pic:spPr>
                </pic:pic>
              </a:graphicData>
            </a:graphic>
          </wp:inline>
        </w:drawing>
      </w:r>
    </w:p>
    <w:p w14:paraId="4FF43C65" w14:textId="77777777" w:rsidR="00A8227E" w:rsidRPr="00640A8F" w:rsidRDefault="00A8227E" w:rsidP="00A8227E">
      <w:pPr>
        <w:spacing w:after="0" w:line="240" w:lineRule="auto"/>
        <w:ind w:left="420"/>
        <w:jc w:val="both"/>
        <w:rPr>
          <w:rFonts w:ascii="Times New Roman" w:hAnsi="Times New Roman"/>
          <w:color w:val="auto"/>
          <w:sz w:val="20"/>
          <w:szCs w:val="20"/>
        </w:rPr>
      </w:pPr>
      <w:r w:rsidRPr="00640A8F">
        <w:rPr>
          <w:rFonts w:ascii="Times New Roman" w:hAnsi="Times New Roman"/>
          <w:b/>
          <w:color w:val="auto"/>
          <w:sz w:val="20"/>
          <w:szCs w:val="20"/>
        </w:rPr>
        <w:t>Figure 9.5</w:t>
      </w:r>
      <w:r w:rsidRPr="00640A8F">
        <w:rPr>
          <w:rFonts w:ascii="Times New Roman" w:hAnsi="Times New Roman"/>
          <w:color w:val="auto"/>
          <w:sz w:val="20"/>
          <w:szCs w:val="20"/>
        </w:rPr>
        <w:t xml:space="preserve">. </w:t>
      </w:r>
      <w:bookmarkStart w:id="9" w:name="_Hlk506730965"/>
      <w:r w:rsidRPr="00640A8F">
        <w:rPr>
          <w:rFonts w:ascii="Times New Roman" w:hAnsi="Times New Roman"/>
          <w:color w:val="auto"/>
          <w:sz w:val="20"/>
          <w:szCs w:val="20"/>
        </w:rPr>
        <w:t>Examples of lay-out formats in Shell 2013</w:t>
      </w:r>
      <w:bookmarkEnd w:id="9"/>
      <w:r w:rsidRPr="00640A8F">
        <w:rPr>
          <w:rFonts w:ascii="Times New Roman" w:hAnsi="Times New Roman"/>
          <w:color w:val="auto"/>
          <w:sz w:val="20"/>
          <w:szCs w:val="20"/>
        </w:rPr>
        <w:t>.</w:t>
      </w:r>
    </w:p>
    <w:p w14:paraId="67BDCBAD" w14:textId="77777777" w:rsidR="00A8227E" w:rsidRPr="00640A8F" w:rsidRDefault="00A8227E" w:rsidP="00A8227E">
      <w:pPr>
        <w:spacing w:after="0" w:line="240" w:lineRule="auto"/>
        <w:ind w:left="420"/>
        <w:jc w:val="both"/>
        <w:rPr>
          <w:rFonts w:ascii="Times New Roman" w:hAnsi="Times New Roman"/>
          <w:color w:val="auto"/>
          <w:sz w:val="20"/>
          <w:szCs w:val="20"/>
        </w:rPr>
      </w:pPr>
    </w:p>
    <w:p w14:paraId="773B95A5"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lastRenderedPageBreak/>
        <w:t>In a comparative perspective, CSR reports in different languages present different multimodal features. Figure 9.6 exposes the frequency rate of the nine types of lay-out formats across the main report of the three subcorpora. The Italian CSR reports use much far fewer headings, boxes, images (pictures or photos) in comparison to the Chinese and English counterparts. The Italian reports in our subcorpus use more diagrams, tables, columns, magnified texts, and boxes than visual images. The Chinese CSR reports are characterized by higher frequency of captions and pictures/photos. The frequency rate of picture/photo is approximately 1.1, which means that on average there is one image on every page. The English subcorpus is characterized by higher frequency of headings (approximately 3 headings per page) and lead-ins. On the whole, the Italian CSR reports use the multimodal toolkit less frequently and appear less eye-catching in comparison to the Chinese and English reports.</w:t>
      </w:r>
    </w:p>
    <w:p w14:paraId="43E8C710" w14:textId="77777777" w:rsidR="00A8227E" w:rsidRPr="00640A8F" w:rsidRDefault="00A8227E" w:rsidP="00A8227E">
      <w:pPr>
        <w:spacing w:after="0" w:line="240" w:lineRule="auto"/>
        <w:jc w:val="both"/>
        <w:rPr>
          <w:rFonts w:ascii="Times New Roman" w:hAnsi="Times New Roman"/>
          <w:color w:val="auto"/>
          <w:sz w:val="20"/>
          <w:szCs w:val="20"/>
        </w:rPr>
      </w:pPr>
    </w:p>
    <w:p w14:paraId="54298ED9" w14:textId="77777777" w:rsidR="00A8227E" w:rsidRPr="00640A8F" w:rsidRDefault="00A8227E" w:rsidP="00A8227E">
      <w:pPr>
        <w:spacing w:after="0" w:line="240" w:lineRule="auto"/>
        <w:jc w:val="both"/>
        <w:rPr>
          <w:rFonts w:ascii="Times New Roman" w:hAnsi="Times New Roman"/>
          <w:color w:val="auto"/>
          <w:sz w:val="20"/>
          <w:szCs w:val="20"/>
        </w:rPr>
      </w:pPr>
      <w:r w:rsidRPr="00A8227E">
        <w:rPr>
          <w:rFonts w:ascii="Times New Roman" w:hAnsi="Times New Roman"/>
          <w:noProof/>
          <w:color w:val="auto"/>
          <w:sz w:val="20"/>
          <w:szCs w:val="20"/>
          <w:lang w:val="it-IT" w:eastAsia="it-IT"/>
        </w:rPr>
        <w:drawing>
          <wp:inline distT="0" distB="0" distL="0" distR="0" wp14:anchorId="48CAED9C" wp14:editId="2C0A681E">
            <wp:extent cx="4839553" cy="3045185"/>
            <wp:effectExtent l="0" t="0" r="18415" b="3175"/>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959F31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b/>
          <w:color w:val="auto"/>
          <w:sz w:val="20"/>
          <w:szCs w:val="20"/>
        </w:rPr>
        <w:t>Figure 9.6</w:t>
      </w:r>
      <w:r w:rsidRPr="00640A8F">
        <w:rPr>
          <w:rFonts w:ascii="Times New Roman" w:hAnsi="Times New Roman"/>
          <w:color w:val="auto"/>
          <w:sz w:val="20"/>
          <w:szCs w:val="20"/>
        </w:rPr>
        <w:t xml:space="preserve">. </w:t>
      </w:r>
      <w:bookmarkStart w:id="10" w:name="_Hlk506730999"/>
      <w:r w:rsidRPr="00640A8F">
        <w:rPr>
          <w:rFonts w:ascii="Times New Roman" w:hAnsi="Times New Roman"/>
          <w:color w:val="auto"/>
          <w:sz w:val="20"/>
          <w:szCs w:val="20"/>
        </w:rPr>
        <w:t xml:space="preserve">Lay-out formats in Main Report (CSR-Ita-T/ CSR-Chn-T/ CSR-Eng-T) </w:t>
      </w:r>
      <w:bookmarkEnd w:id="10"/>
    </w:p>
    <w:p w14:paraId="6ACFDEDF" w14:textId="77777777" w:rsidR="00A8227E" w:rsidRPr="00640A8F" w:rsidRDefault="00A8227E" w:rsidP="00A8227E">
      <w:pPr>
        <w:spacing w:after="0" w:line="240" w:lineRule="auto"/>
        <w:jc w:val="both"/>
        <w:rPr>
          <w:rFonts w:ascii="Times New Roman" w:hAnsi="Times New Roman"/>
          <w:b/>
          <w:color w:val="auto"/>
          <w:sz w:val="20"/>
          <w:szCs w:val="20"/>
        </w:rPr>
      </w:pPr>
    </w:p>
    <w:p w14:paraId="43A5F438"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4.5 Recursivity: move analysis</w:t>
      </w:r>
    </w:p>
    <w:p w14:paraId="5096CEB3"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Move analysis has focused on the main report. Drawing from the genre theories established by Swales (1990) and Bhatia (1993, 2004), we have identified a generic scheme with 15 moves (Table 9.2) (see Yu and Bondi, 2017 for methodological details). </w:t>
      </w:r>
    </w:p>
    <w:p w14:paraId="4484985F" w14:textId="77777777" w:rsidR="00A8227E" w:rsidRPr="00640A8F" w:rsidRDefault="00A8227E" w:rsidP="00A8227E">
      <w:pPr>
        <w:spacing w:after="0" w:line="240" w:lineRule="auto"/>
        <w:jc w:val="both"/>
        <w:rPr>
          <w:rFonts w:ascii="Times New Roman" w:hAnsi="Times New Roman"/>
          <w:color w:val="auto"/>
          <w:sz w:val="20"/>
          <w:szCs w:val="20"/>
        </w:rPr>
      </w:pPr>
    </w:p>
    <w:p w14:paraId="2DD64B35" w14:textId="77777777" w:rsidR="00A8227E" w:rsidRPr="00640A8F" w:rsidRDefault="00A8227E" w:rsidP="00A8227E">
      <w:pPr>
        <w:spacing w:after="0" w:line="240" w:lineRule="auto"/>
        <w:ind w:firstLineChars="497" w:firstLine="994"/>
        <w:jc w:val="both"/>
        <w:rPr>
          <w:rFonts w:ascii="Times New Roman" w:hAnsi="Times New Roman"/>
          <w:color w:val="auto"/>
          <w:sz w:val="20"/>
          <w:szCs w:val="20"/>
        </w:rPr>
      </w:pPr>
    </w:p>
    <w:tbl>
      <w:tblPr>
        <w:tblW w:w="2826" w:type="pct"/>
        <w:tblInd w:w="1170" w:type="dxa"/>
        <w:tblLook w:val="04A0" w:firstRow="1" w:lastRow="0" w:firstColumn="1" w:lastColumn="0" w:noHBand="0" w:noVBand="1"/>
      </w:tblPr>
      <w:tblGrid>
        <w:gridCol w:w="5447"/>
      </w:tblGrid>
      <w:tr w:rsidR="00A8227E" w:rsidRPr="00640A8F" w14:paraId="2A892422" w14:textId="77777777" w:rsidTr="00C0667F">
        <w:trPr>
          <w:trHeight w:val="337"/>
        </w:trPr>
        <w:tc>
          <w:tcPr>
            <w:tcW w:w="5000" w:type="pct"/>
            <w:tcBorders>
              <w:bottom w:val="single" w:sz="4" w:space="0" w:color="000000" w:themeColor="text1"/>
            </w:tcBorders>
            <w:hideMark/>
          </w:tcPr>
          <w:p w14:paraId="110FE9CD"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b/>
                <w:bCs/>
                <w:color w:val="auto"/>
              </w:rPr>
              <w:t>Move</w:t>
            </w:r>
          </w:p>
        </w:tc>
      </w:tr>
      <w:tr w:rsidR="00A8227E" w:rsidRPr="00640A8F" w14:paraId="17AD26AE" w14:textId="77777777" w:rsidTr="00C0667F">
        <w:trPr>
          <w:trHeight w:val="337"/>
        </w:trPr>
        <w:tc>
          <w:tcPr>
            <w:tcW w:w="5000" w:type="pct"/>
            <w:tcBorders>
              <w:bottom w:val="nil"/>
            </w:tcBorders>
            <w:hideMark/>
          </w:tcPr>
          <w:p w14:paraId="6A3BEAD7"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 Presenting corporate profile</w:t>
            </w:r>
          </w:p>
        </w:tc>
      </w:tr>
      <w:tr w:rsidR="00A8227E" w:rsidRPr="00640A8F" w14:paraId="00C4488D" w14:textId="77777777" w:rsidTr="00C0667F">
        <w:trPr>
          <w:trHeight w:val="138"/>
        </w:trPr>
        <w:tc>
          <w:tcPr>
            <w:tcW w:w="5000" w:type="pct"/>
            <w:tcBorders>
              <w:top w:val="nil"/>
              <w:bottom w:val="nil"/>
            </w:tcBorders>
            <w:hideMark/>
          </w:tcPr>
          <w:p w14:paraId="68B19C41"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 Presenting corporate governance</w:t>
            </w:r>
          </w:p>
        </w:tc>
      </w:tr>
      <w:tr w:rsidR="00A8227E" w:rsidRPr="00640A8F" w14:paraId="37FA4785" w14:textId="77777777" w:rsidTr="00C0667F">
        <w:trPr>
          <w:trHeight w:val="85"/>
        </w:trPr>
        <w:tc>
          <w:tcPr>
            <w:tcW w:w="5000" w:type="pct"/>
            <w:tcBorders>
              <w:top w:val="nil"/>
              <w:bottom w:val="nil"/>
            </w:tcBorders>
            <w:hideMark/>
          </w:tcPr>
          <w:p w14:paraId="05200206"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3. Stating values and beliefs</w:t>
            </w:r>
          </w:p>
        </w:tc>
      </w:tr>
      <w:tr w:rsidR="00A8227E" w:rsidRPr="00640A8F" w14:paraId="04A54FAD" w14:textId="77777777" w:rsidTr="00C0667F">
        <w:trPr>
          <w:trHeight w:val="190"/>
        </w:trPr>
        <w:tc>
          <w:tcPr>
            <w:tcW w:w="5000" w:type="pct"/>
            <w:tcBorders>
              <w:top w:val="nil"/>
              <w:bottom w:val="nil"/>
            </w:tcBorders>
            <w:hideMark/>
          </w:tcPr>
          <w:p w14:paraId="17968627"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 xml:space="preserve">4. Stating missions </w:t>
            </w:r>
          </w:p>
        </w:tc>
      </w:tr>
      <w:tr w:rsidR="00A8227E" w:rsidRPr="00640A8F" w14:paraId="57163C47" w14:textId="77777777" w:rsidTr="00C0667F">
        <w:trPr>
          <w:trHeight w:val="137"/>
        </w:trPr>
        <w:tc>
          <w:tcPr>
            <w:tcW w:w="5000" w:type="pct"/>
            <w:tcBorders>
              <w:top w:val="nil"/>
              <w:bottom w:val="nil"/>
            </w:tcBorders>
            <w:hideMark/>
          </w:tcPr>
          <w:p w14:paraId="54EE5A97"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5. Showing commitment</w:t>
            </w:r>
          </w:p>
        </w:tc>
      </w:tr>
      <w:tr w:rsidR="00A8227E" w:rsidRPr="00640A8F" w14:paraId="014117E5" w14:textId="77777777" w:rsidTr="00C0667F">
        <w:trPr>
          <w:trHeight w:val="137"/>
        </w:trPr>
        <w:tc>
          <w:tcPr>
            <w:tcW w:w="5000" w:type="pct"/>
            <w:tcBorders>
              <w:top w:val="nil"/>
              <w:bottom w:val="nil"/>
            </w:tcBorders>
            <w:hideMark/>
          </w:tcPr>
          <w:p w14:paraId="0B135F71"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6. Establishing credentials</w:t>
            </w:r>
          </w:p>
        </w:tc>
      </w:tr>
      <w:tr w:rsidR="00A8227E" w:rsidRPr="00640A8F" w14:paraId="275966C6" w14:textId="77777777" w:rsidTr="00C0667F">
        <w:trPr>
          <w:trHeight w:val="54"/>
        </w:trPr>
        <w:tc>
          <w:tcPr>
            <w:tcW w:w="5000" w:type="pct"/>
            <w:tcBorders>
              <w:top w:val="nil"/>
              <w:bottom w:val="nil"/>
            </w:tcBorders>
            <w:hideMark/>
          </w:tcPr>
          <w:p w14:paraId="393E5541"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7. Stating strategies/methods/practices</w:t>
            </w:r>
          </w:p>
        </w:tc>
      </w:tr>
      <w:tr w:rsidR="00A8227E" w:rsidRPr="00640A8F" w14:paraId="445BF1F8" w14:textId="77777777" w:rsidTr="00C0667F">
        <w:trPr>
          <w:trHeight w:val="54"/>
        </w:trPr>
        <w:tc>
          <w:tcPr>
            <w:tcW w:w="5000" w:type="pct"/>
            <w:tcBorders>
              <w:top w:val="nil"/>
              <w:bottom w:val="nil"/>
            </w:tcBorders>
            <w:hideMark/>
          </w:tcPr>
          <w:p w14:paraId="2BC875CD"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8. Previewing future performance</w:t>
            </w:r>
          </w:p>
        </w:tc>
      </w:tr>
      <w:tr w:rsidR="00A8227E" w:rsidRPr="00640A8F" w14:paraId="44ABB557" w14:textId="77777777" w:rsidTr="00C0667F">
        <w:trPr>
          <w:trHeight w:val="138"/>
        </w:trPr>
        <w:tc>
          <w:tcPr>
            <w:tcW w:w="5000" w:type="pct"/>
            <w:tcBorders>
              <w:top w:val="nil"/>
              <w:bottom w:val="nil"/>
            </w:tcBorders>
            <w:hideMark/>
          </w:tcPr>
          <w:p w14:paraId="165E8F4A"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9. Presenting performance</w:t>
            </w:r>
          </w:p>
        </w:tc>
      </w:tr>
      <w:tr w:rsidR="00A8227E" w:rsidRPr="00640A8F" w14:paraId="07AEE3D0" w14:textId="77777777" w:rsidTr="00C0667F">
        <w:trPr>
          <w:trHeight w:val="72"/>
        </w:trPr>
        <w:tc>
          <w:tcPr>
            <w:tcW w:w="5000" w:type="pct"/>
            <w:tcBorders>
              <w:top w:val="nil"/>
              <w:bottom w:val="nil"/>
            </w:tcBorders>
            <w:hideMark/>
          </w:tcPr>
          <w:p w14:paraId="0A58B1EF"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 xml:space="preserve">10. Presenting an internal action </w:t>
            </w:r>
          </w:p>
        </w:tc>
      </w:tr>
      <w:tr w:rsidR="00A8227E" w:rsidRPr="00640A8F" w14:paraId="7DFFE652" w14:textId="77777777" w:rsidTr="00C0667F">
        <w:trPr>
          <w:trHeight w:val="175"/>
        </w:trPr>
        <w:tc>
          <w:tcPr>
            <w:tcW w:w="5000" w:type="pct"/>
            <w:tcBorders>
              <w:top w:val="nil"/>
              <w:bottom w:val="nil"/>
            </w:tcBorders>
            <w:hideMark/>
          </w:tcPr>
          <w:p w14:paraId="5B6648B3"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11. Detailing an issue</w:t>
            </w:r>
          </w:p>
        </w:tc>
      </w:tr>
      <w:tr w:rsidR="00A8227E" w:rsidRPr="00640A8F" w14:paraId="2992F5C8" w14:textId="77777777" w:rsidTr="00C0667F">
        <w:trPr>
          <w:trHeight w:val="280"/>
        </w:trPr>
        <w:tc>
          <w:tcPr>
            <w:tcW w:w="5000" w:type="pct"/>
            <w:tcBorders>
              <w:top w:val="nil"/>
              <w:bottom w:val="nil"/>
            </w:tcBorders>
            <w:hideMark/>
          </w:tcPr>
          <w:p w14:paraId="5D33DC30"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12. Presenting individual cases</w:t>
            </w:r>
          </w:p>
        </w:tc>
      </w:tr>
      <w:tr w:rsidR="00A8227E" w:rsidRPr="00640A8F" w14:paraId="3E40D8CF" w14:textId="77777777" w:rsidTr="00C0667F">
        <w:trPr>
          <w:trHeight w:val="280"/>
        </w:trPr>
        <w:tc>
          <w:tcPr>
            <w:tcW w:w="5000" w:type="pct"/>
            <w:tcBorders>
              <w:top w:val="nil"/>
              <w:bottom w:val="nil"/>
            </w:tcBorders>
            <w:hideMark/>
          </w:tcPr>
          <w:p w14:paraId="05EBB30E"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13. Describing external circumstances</w:t>
            </w:r>
          </w:p>
        </w:tc>
      </w:tr>
      <w:tr w:rsidR="00A8227E" w:rsidRPr="00640A8F" w14:paraId="629CED48" w14:textId="77777777" w:rsidTr="00C0667F">
        <w:trPr>
          <w:trHeight w:val="176"/>
        </w:trPr>
        <w:tc>
          <w:tcPr>
            <w:tcW w:w="5000" w:type="pct"/>
            <w:tcBorders>
              <w:top w:val="nil"/>
              <w:bottom w:val="nil"/>
            </w:tcBorders>
            <w:hideMark/>
          </w:tcPr>
          <w:p w14:paraId="58CA43EE"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14. Introducing an aspect of CSR performance</w:t>
            </w:r>
          </w:p>
        </w:tc>
      </w:tr>
      <w:tr w:rsidR="00A8227E" w:rsidRPr="00640A8F" w14:paraId="125ADB18" w14:textId="77777777" w:rsidTr="00C0667F">
        <w:trPr>
          <w:trHeight w:val="274"/>
        </w:trPr>
        <w:tc>
          <w:tcPr>
            <w:tcW w:w="5000" w:type="pct"/>
            <w:tcBorders>
              <w:top w:val="nil"/>
              <w:bottom w:val="nil"/>
            </w:tcBorders>
            <w:hideMark/>
          </w:tcPr>
          <w:p w14:paraId="3947CB9B"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15. Presenting risk and difficulties</w:t>
            </w:r>
            <w:r w:rsidRPr="00640A8F">
              <w:rPr>
                <w:rFonts w:ascii="Times New Roman" w:hAnsi="Times New Roman"/>
                <w:color w:val="auto"/>
              </w:rPr>
              <w:tab/>
            </w:r>
          </w:p>
        </w:tc>
      </w:tr>
    </w:tbl>
    <w:p w14:paraId="4293DCC5" w14:textId="77777777" w:rsidR="00A8227E" w:rsidRPr="00640A8F" w:rsidRDefault="00A8227E" w:rsidP="00A8227E">
      <w:pPr>
        <w:spacing w:after="0" w:line="240" w:lineRule="auto"/>
        <w:jc w:val="both"/>
        <w:rPr>
          <w:rFonts w:ascii="Times New Roman" w:hAnsi="Times New Roman"/>
          <w:b/>
          <w:color w:val="auto"/>
          <w:sz w:val="20"/>
          <w:szCs w:val="20"/>
        </w:rPr>
      </w:pPr>
    </w:p>
    <w:p w14:paraId="3D893C1F"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b/>
          <w:color w:val="auto"/>
          <w:sz w:val="20"/>
          <w:szCs w:val="20"/>
        </w:rPr>
        <w:t>Table 9.2.</w:t>
      </w:r>
      <w:r w:rsidRPr="00640A8F">
        <w:rPr>
          <w:rFonts w:ascii="Times New Roman" w:hAnsi="Times New Roman"/>
          <w:color w:val="auto"/>
          <w:sz w:val="20"/>
          <w:szCs w:val="20"/>
        </w:rPr>
        <w:t xml:space="preserve"> The move scheme of CSR reports</w:t>
      </w:r>
    </w:p>
    <w:p w14:paraId="54D440D6" w14:textId="77777777" w:rsidR="00A8227E" w:rsidRPr="00640A8F" w:rsidRDefault="00A8227E" w:rsidP="00A8227E">
      <w:pPr>
        <w:spacing w:after="0" w:line="240" w:lineRule="auto"/>
        <w:jc w:val="both"/>
        <w:rPr>
          <w:rFonts w:ascii="Times New Roman" w:hAnsi="Times New Roman"/>
          <w:color w:val="auto"/>
          <w:sz w:val="20"/>
          <w:szCs w:val="20"/>
        </w:rPr>
      </w:pPr>
    </w:p>
    <w:p w14:paraId="6DC827D5"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Recursivity</w:t>
      </w:r>
    </w:p>
    <w:p w14:paraId="32AD0B45"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lastRenderedPageBreak/>
        <w:t xml:space="preserve">Move analysis reveals that the “body” of the CSR report is characterized by a recursive structure, that is, similar move sequences are found in sections with different prescribed topics. This is in line with the typical “colony-in-loops” organization (Parodi 2010) characterizing the repetitive structure of other extended documents (such as textbooks). </w:t>
      </w:r>
    </w:p>
    <w:p w14:paraId="33961754"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Table 9.3 exemplifies the move pattern identified on a sample text of </w:t>
      </w:r>
      <w:r w:rsidRPr="00640A8F">
        <w:rPr>
          <w:rFonts w:ascii="Times New Roman" w:hAnsi="Times New Roman"/>
          <w:i/>
          <w:color w:val="auto"/>
          <w:sz w:val="20"/>
          <w:szCs w:val="20"/>
        </w:rPr>
        <w:t>Shell 2013.</w:t>
      </w:r>
      <w:r w:rsidRPr="00640A8F">
        <w:rPr>
          <w:rFonts w:ascii="Times New Roman" w:hAnsi="Times New Roman"/>
          <w:color w:val="auto"/>
          <w:sz w:val="20"/>
          <w:szCs w:val="20"/>
        </w:rPr>
        <w:t xml:space="preserve"> This is one of the frequent models of move sequences used in sections dedicated to prescribed topics, moving from “Showing commitment to CSR values”, to “Communicating Strategies/methods/practices” and “Presenting performance”. </w:t>
      </w:r>
    </w:p>
    <w:p w14:paraId="2009D360" w14:textId="77777777" w:rsidR="00A8227E" w:rsidRPr="00640A8F" w:rsidRDefault="00A8227E" w:rsidP="00A8227E">
      <w:pPr>
        <w:spacing w:after="0" w:line="240" w:lineRule="auto"/>
        <w:jc w:val="both"/>
        <w:rPr>
          <w:rFonts w:ascii="Times New Roman" w:hAnsi="Times New Roman"/>
          <w:color w:val="auto"/>
          <w:sz w:val="20"/>
          <w:szCs w:val="20"/>
        </w:rPr>
      </w:pPr>
    </w:p>
    <w:tbl>
      <w:tblPr>
        <w:tblW w:w="4904" w:type="pct"/>
        <w:tblLook w:val="04A0" w:firstRow="1" w:lastRow="0" w:firstColumn="1" w:lastColumn="0" w:noHBand="0" w:noVBand="1"/>
      </w:tblPr>
      <w:tblGrid>
        <w:gridCol w:w="7521"/>
        <w:gridCol w:w="1932"/>
      </w:tblGrid>
      <w:tr w:rsidR="00A8227E" w:rsidRPr="00640A8F" w14:paraId="5E23D212" w14:textId="77777777" w:rsidTr="00C0667F">
        <w:tc>
          <w:tcPr>
            <w:tcW w:w="3978" w:type="pct"/>
          </w:tcPr>
          <w:p w14:paraId="33FEC5E5"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Main text (Shell 2013: 13)</w:t>
            </w:r>
          </w:p>
        </w:tc>
        <w:tc>
          <w:tcPr>
            <w:tcW w:w="1022" w:type="pct"/>
          </w:tcPr>
          <w:p w14:paraId="4FFAA8A0"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Move</w:t>
            </w:r>
          </w:p>
        </w:tc>
      </w:tr>
      <w:tr w:rsidR="00A8227E" w:rsidRPr="00640A8F" w14:paraId="208C37A5" w14:textId="77777777" w:rsidTr="00C0667F">
        <w:tc>
          <w:tcPr>
            <w:tcW w:w="3978" w:type="pct"/>
          </w:tcPr>
          <w:p w14:paraId="1F3EF57A"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SUSTAINABLE DEVELOPMENT IN SHELL</w:t>
            </w:r>
          </w:p>
          <w:p w14:paraId="4D5C033D"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(Lead-in)</w:t>
            </w:r>
            <w:r w:rsidRPr="00640A8F">
              <w:rPr>
                <w:rFonts w:ascii="Times New Roman" w:hAnsi="Times New Roman"/>
                <w:bCs/>
                <w:color w:val="auto"/>
              </w:rPr>
              <w:t xml:space="preserve"> Shell works with governments, partners and communities to help meet the world’s growing energy demand in a more sustainable way. This makes good business sense and helps to build trust with the communities around us.</w:t>
            </w:r>
          </w:p>
        </w:tc>
        <w:tc>
          <w:tcPr>
            <w:tcW w:w="1022" w:type="pct"/>
          </w:tcPr>
          <w:p w14:paraId="5DF524A8"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color w:val="auto"/>
              </w:rPr>
              <w:t>Showing Commitment to CSR values</w:t>
            </w:r>
          </w:p>
        </w:tc>
      </w:tr>
      <w:tr w:rsidR="00A8227E" w:rsidRPr="00640A8F" w14:paraId="5EC2F59A" w14:textId="77777777" w:rsidTr="00C0667F">
        <w:tc>
          <w:tcPr>
            <w:tcW w:w="3978" w:type="pct"/>
          </w:tcPr>
          <w:p w14:paraId="3E3F7D06"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 xml:space="preserve">(Para. 1) </w:t>
            </w:r>
            <w:r w:rsidRPr="00640A8F">
              <w:rPr>
                <w:rFonts w:ascii="Times New Roman" w:hAnsi="Times New Roman"/>
                <w:bCs/>
                <w:color w:val="auto"/>
              </w:rPr>
              <w:t>We embed sustainability across our project development process, using specialists who work as part of the project teams. This work involves engaging with communities where we operate to reduce our environmental impact (see opinion) and share benefits from our activities. […]</w:t>
            </w:r>
          </w:p>
          <w:p w14:paraId="24AC1EFB" w14:textId="77777777" w:rsidR="00A8227E" w:rsidRPr="00640A8F" w:rsidRDefault="00A8227E" w:rsidP="00C0667F">
            <w:pPr>
              <w:spacing w:after="0" w:line="240" w:lineRule="auto"/>
              <w:rPr>
                <w:rFonts w:ascii="Times New Roman" w:hAnsi="Times New Roman"/>
                <w:bCs/>
                <w:color w:val="auto"/>
              </w:rPr>
            </w:pPr>
          </w:p>
        </w:tc>
        <w:tc>
          <w:tcPr>
            <w:tcW w:w="1022" w:type="pct"/>
          </w:tcPr>
          <w:p w14:paraId="7A2D47D1"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Communicating strategies/ methods/ practices</w:t>
            </w:r>
          </w:p>
          <w:p w14:paraId="36290574"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color w:val="auto"/>
              </w:rPr>
              <w:t>(+ cross-reference to box for performance)(and credentials)</w:t>
            </w:r>
          </w:p>
        </w:tc>
      </w:tr>
      <w:tr w:rsidR="00A8227E" w:rsidRPr="00640A8F" w14:paraId="1A1AC6AA" w14:textId="77777777" w:rsidTr="00C0667F">
        <w:tc>
          <w:tcPr>
            <w:tcW w:w="3978" w:type="pct"/>
          </w:tcPr>
          <w:p w14:paraId="7854F334"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 xml:space="preserve">OUR PROCESS </w:t>
            </w:r>
          </w:p>
          <w:p w14:paraId="6E02FF0F"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(Para. 2)</w:t>
            </w:r>
            <w:r w:rsidRPr="00640A8F">
              <w:rPr>
                <w:rFonts w:ascii="Times New Roman" w:hAnsi="Times New Roman"/>
                <w:bCs/>
                <w:color w:val="auto"/>
              </w:rPr>
              <w:t xml:space="preserve"> When we plan or develop new facilities, or make changes to existing ones, we apply a staged project development process (see diagram) that is consistent around the world. This process includes assessing potential health, safety and security risks […]. </w:t>
            </w:r>
          </w:p>
          <w:p w14:paraId="03FFD551"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(Para.3)</w:t>
            </w:r>
            <w:r w:rsidRPr="00640A8F">
              <w:rPr>
                <w:rFonts w:ascii="Times New Roman" w:hAnsi="Times New Roman"/>
                <w:bCs/>
                <w:color w:val="auto"/>
              </w:rPr>
              <w:t xml:space="preserve"> This work is captured in a project management plan, which is monitored throughout the life cycle of the project. The needs of the local community are factored into our plans using a standardised approach from our HSSE &amp; SP Control Framework (see box, page 5). […]</w:t>
            </w:r>
          </w:p>
        </w:tc>
        <w:tc>
          <w:tcPr>
            <w:tcW w:w="1022" w:type="pct"/>
          </w:tcPr>
          <w:p w14:paraId="08A74970"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Communicating strategies/ methods/ practices</w:t>
            </w:r>
          </w:p>
          <w:p w14:paraId="14B90C55"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color w:val="auto"/>
              </w:rPr>
              <w:t xml:space="preserve"> (+ cross-reference to other pages for performance and to diagram for illustration of practices)</w:t>
            </w:r>
          </w:p>
        </w:tc>
      </w:tr>
      <w:tr w:rsidR="00A8227E" w:rsidRPr="00640A8F" w14:paraId="3366C09E" w14:textId="77777777" w:rsidTr="00C0667F">
        <w:tc>
          <w:tcPr>
            <w:tcW w:w="3978" w:type="pct"/>
          </w:tcPr>
          <w:p w14:paraId="10441A90"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OUR SPECIALISTS</w:t>
            </w:r>
          </w:p>
          <w:p w14:paraId="1FBBBFA3"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(Para. 4)</w:t>
            </w:r>
            <w:r w:rsidRPr="00640A8F">
              <w:rPr>
                <w:rFonts w:ascii="Times New Roman" w:hAnsi="Times New Roman"/>
                <w:bCs/>
                <w:color w:val="auto"/>
              </w:rPr>
              <w:t xml:space="preserve"> We continually develop the skills and expertise of employees who have specific HSSE &amp; SP responsibilities. […]</w:t>
            </w:r>
          </w:p>
          <w:p w14:paraId="00B381F9"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(Para. 5)</w:t>
            </w:r>
            <w:r w:rsidRPr="00640A8F">
              <w:rPr>
                <w:rFonts w:ascii="Times New Roman" w:hAnsi="Times New Roman"/>
                <w:bCs/>
                <w:color w:val="auto"/>
              </w:rPr>
              <w:t xml:space="preserve"> We have dedicated employees involved at each stage of the project development process, who work alongside our technical specialists on our more complex projects. Their role is to understand the scope of a project […]</w:t>
            </w:r>
          </w:p>
          <w:p w14:paraId="018DD1F4"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(Para.6)</w:t>
            </w:r>
            <w:r w:rsidRPr="00640A8F">
              <w:rPr>
                <w:rFonts w:ascii="Times New Roman" w:hAnsi="Times New Roman"/>
                <w:bCs/>
                <w:color w:val="auto"/>
              </w:rPr>
              <w:t xml:space="preserve"> We continue to build a culture where sustainable development matters to our employees across the company. This includes offering training to employees […].</w:t>
            </w:r>
          </w:p>
          <w:p w14:paraId="38BC1C5D" w14:textId="77777777" w:rsidR="00A8227E" w:rsidRPr="00640A8F" w:rsidRDefault="00A8227E" w:rsidP="00C0667F">
            <w:pPr>
              <w:spacing w:after="0" w:line="240" w:lineRule="auto"/>
              <w:rPr>
                <w:rFonts w:ascii="Times New Roman" w:hAnsi="Times New Roman"/>
                <w:bCs/>
                <w:color w:val="auto"/>
              </w:rPr>
            </w:pPr>
          </w:p>
        </w:tc>
        <w:tc>
          <w:tcPr>
            <w:tcW w:w="1022" w:type="pct"/>
          </w:tcPr>
          <w:p w14:paraId="2398ECE5"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Communicating strategies/ methods/ practices</w:t>
            </w:r>
          </w:p>
          <w:p w14:paraId="3CC4D4E6" w14:textId="77777777" w:rsidR="00A8227E" w:rsidRPr="00640A8F" w:rsidRDefault="00A8227E" w:rsidP="00C0667F">
            <w:pPr>
              <w:spacing w:after="0" w:line="240" w:lineRule="auto"/>
              <w:rPr>
                <w:rFonts w:ascii="Times New Roman" w:hAnsi="Times New Roman"/>
                <w:color w:val="auto"/>
              </w:rPr>
            </w:pPr>
          </w:p>
          <w:p w14:paraId="66284EDF" w14:textId="77777777" w:rsidR="00A8227E" w:rsidRPr="00640A8F" w:rsidRDefault="00A8227E" w:rsidP="00C0667F">
            <w:pPr>
              <w:spacing w:after="0" w:line="240" w:lineRule="auto"/>
              <w:rPr>
                <w:rFonts w:ascii="Times New Roman" w:hAnsi="Times New Roman"/>
                <w:b/>
                <w:bCs/>
                <w:color w:val="auto"/>
              </w:rPr>
            </w:pPr>
          </w:p>
        </w:tc>
      </w:tr>
      <w:tr w:rsidR="00A8227E" w:rsidRPr="00640A8F" w14:paraId="244E72A6" w14:textId="77777777" w:rsidTr="00C0667F">
        <w:tc>
          <w:tcPr>
            <w:tcW w:w="3978" w:type="pct"/>
          </w:tcPr>
          <w:p w14:paraId="07F82DB1" w14:textId="77777777" w:rsidR="00A8227E" w:rsidRPr="00640A8F" w:rsidRDefault="00A8227E" w:rsidP="00C0667F">
            <w:pPr>
              <w:spacing w:after="0" w:line="240" w:lineRule="auto"/>
              <w:rPr>
                <w:rFonts w:ascii="Times New Roman" w:hAnsi="Times New Roman"/>
                <w:bCs/>
                <w:color w:val="auto"/>
              </w:rPr>
            </w:pPr>
            <w:r w:rsidRPr="00640A8F">
              <w:rPr>
                <w:rFonts w:ascii="Times New Roman" w:hAnsi="Times New Roman"/>
                <w:b/>
                <w:bCs/>
                <w:color w:val="auto"/>
              </w:rPr>
              <w:t xml:space="preserve">(Para. 7) </w:t>
            </w:r>
            <w:r w:rsidRPr="00640A8F">
              <w:rPr>
                <w:rFonts w:ascii="Times New Roman" w:hAnsi="Times New Roman"/>
                <w:bCs/>
                <w:color w:val="auto"/>
              </w:rPr>
              <w:t xml:space="preserve">Our annual CEO awards for health, safety, security, environment and social performance recognise the best examples across Shell of embedding a sustainable approach in our activities. For example, a team at Shell Petroleum Development Company of Nigeria (SPDC) </w:t>
            </w:r>
            <w:r w:rsidRPr="00640A8F">
              <w:rPr>
                <w:rFonts w:ascii="Times New Roman" w:hAnsi="Times New Roman"/>
                <w:b/>
                <w:bCs/>
                <w:color w:val="auto"/>
              </w:rPr>
              <w:t xml:space="preserve">was recognised </w:t>
            </w:r>
            <w:r w:rsidRPr="00640A8F">
              <w:rPr>
                <w:rFonts w:ascii="Times New Roman" w:hAnsi="Times New Roman"/>
                <w:bCs/>
                <w:color w:val="auto"/>
              </w:rPr>
              <w:t xml:space="preserve">for its work to reduce the risk of flooding. The team produced satellite radar images that analysed flood impacted areas and predicted at-risk areas during floods in 2012. They </w:t>
            </w:r>
            <w:r w:rsidRPr="00640A8F">
              <w:rPr>
                <w:rFonts w:ascii="Times New Roman" w:hAnsi="Times New Roman"/>
                <w:b/>
                <w:bCs/>
                <w:color w:val="auto"/>
              </w:rPr>
              <w:t>were able to</w:t>
            </w:r>
            <w:r w:rsidRPr="00640A8F">
              <w:rPr>
                <w:rFonts w:ascii="Times New Roman" w:hAnsi="Times New Roman"/>
                <w:bCs/>
                <w:color w:val="auto"/>
              </w:rPr>
              <w:t xml:space="preserve"> support emergency response efforts in affected communities. In 2013, SPDC</w:t>
            </w:r>
            <w:r w:rsidRPr="00640A8F">
              <w:rPr>
                <w:rFonts w:ascii="Times New Roman" w:hAnsi="Times New Roman"/>
                <w:b/>
                <w:bCs/>
                <w:color w:val="auto"/>
              </w:rPr>
              <w:t xml:space="preserve"> improved</w:t>
            </w:r>
            <w:r w:rsidRPr="00640A8F">
              <w:rPr>
                <w:rFonts w:ascii="Times New Roman" w:hAnsi="Times New Roman"/>
                <w:bCs/>
                <w:color w:val="auto"/>
              </w:rPr>
              <w:t xml:space="preserve"> its ability to prevent or mitigate flooding in the future and </w:t>
            </w:r>
            <w:r w:rsidRPr="00640A8F">
              <w:rPr>
                <w:rFonts w:ascii="Times New Roman" w:hAnsi="Times New Roman"/>
                <w:b/>
                <w:bCs/>
                <w:color w:val="auto"/>
              </w:rPr>
              <w:t>shared</w:t>
            </w:r>
            <w:r w:rsidRPr="00640A8F">
              <w:rPr>
                <w:rFonts w:ascii="Times New Roman" w:hAnsi="Times New Roman"/>
                <w:bCs/>
                <w:color w:val="auto"/>
              </w:rPr>
              <w:t xml:space="preserve"> its knowledge with the Nigerian government and non-governmental organisations.</w:t>
            </w:r>
          </w:p>
        </w:tc>
        <w:tc>
          <w:tcPr>
            <w:tcW w:w="1022" w:type="pct"/>
          </w:tcPr>
          <w:p w14:paraId="56FD8CEE"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 xml:space="preserve">Presenting performance </w:t>
            </w:r>
          </w:p>
          <w:p w14:paraId="5814780D" w14:textId="77777777" w:rsidR="00A8227E" w:rsidRPr="00640A8F" w:rsidRDefault="00A8227E" w:rsidP="00C0667F">
            <w:pPr>
              <w:spacing w:after="0" w:line="240" w:lineRule="auto"/>
              <w:rPr>
                <w:rFonts w:ascii="Times New Roman" w:hAnsi="Times New Roman"/>
                <w:b/>
                <w:bCs/>
                <w:color w:val="auto"/>
              </w:rPr>
            </w:pPr>
          </w:p>
        </w:tc>
      </w:tr>
    </w:tbl>
    <w:p w14:paraId="709121AB" w14:textId="77777777" w:rsidR="00A8227E" w:rsidRPr="00640A8F" w:rsidRDefault="00A8227E" w:rsidP="00A8227E">
      <w:pPr>
        <w:spacing w:after="0" w:line="240" w:lineRule="auto"/>
        <w:jc w:val="both"/>
        <w:rPr>
          <w:rFonts w:ascii="Times New Roman" w:hAnsi="Times New Roman"/>
          <w:b/>
          <w:color w:val="auto"/>
          <w:sz w:val="20"/>
          <w:szCs w:val="20"/>
        </w:rPr>
      </w:pPr>
    </w:p>
    <w:p w14:paraId="0AC5956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b/>
          <w:color w:val="auto"/>
          <w:sz w:val="20"/>
          <w:szCs w:val="20"/>
        </w:rPr>
        <w:t>Table 9.3</w:t>
      </w:r>
      <w:r w:rsidRPr="00640A8F">
        <w:rPr>
          <w:rFonts w:ascii="Times New Roman" w:hAnsi="Times New Roman"/>
          <w:color w:val="auto"/>
          <w:sz w:val="20"/>
          <w:szCs w:val="20"/>
        </w:rPr>
        <w:t xml:space="preserve">. </w:t>
      </w:r>
      <w:bookmarkStart w:id="11" w:name="_Hlk506731200"/>
      <w:r w:rsidRPr="00640A8F">
        <w:rPr>
          <w:rFonts w:ascii="Times New Roman" w:hAnsi="Times New Roman"/>
          <w:color w:val="auto"/>
          <w:sz w:val="20"/>
          <w:szCs w:val="20"/>
        </w:rPr>
        <w:t>Move pattern in a text of Shell 2013</w:t>
      </w:r>
      <w:bookmarkEnd w:id="11"/>
    </w:p>
    <w:p w14:paraId="5900989B" w14:textId="77777777" w:rsidR="00A8227E" w:rsidRPr="00640A8F" w:rsidRDefault="00A8227E" w:rsidP="00A8227E">
      <w:pPr>
        <w:spacing w:after="0" w:line="240" w:lineRule="auto"/>
        <w:jc w:val="both"/>
        <w:rPr>
          <w:rFonts w:ascii="Times New Roman" w:hAnsi="Times New Roman"/>
          <w:color w:val="auto"/>
          <w:sz w:val="20"/>
          <w:szCs w:val="20"/>
        </w:rPr>
      </w:pPr>
    </w:p>
    <w:p w14:paraId="06EB618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In the text, the company begins by demonstrating their ‘goodwill’ in CSR activities. Then they describe their strategies, methods and practices. Then they get to the core of the reporting, by presenting a certain aspect of the CSR performance. In other cases the presentation of the performance also extends to an outlook by “Previewing to future performance”. The sequence is often repeated recursively, when different prescribed aspects of CSR are dealt with.</w:t>
      </w:r>
    </w:p>
    <w:p w14:paraId="0F085A9F" w14:textId="77777777" w:rsidR="00A8227E" w:rsidRPr="00640A8F" w:rsidRDefault="00A8227E" w:rsidP="00A8227E">
      <w:pPr>
        <w:spacing w:after="0" w:line="240" w:lineRule="auto"/>
        <w:jc w:val="both"/>
        <w:rPr>
          <w:rFonts w:ascii="Times New Roman" w:hAnsi="Times New Roman"/>
          <w:color w:val="auto"/>
          <w:sz w:val="20"/>
          <w:szCs w:val="20"/>
        </w:rPr>
      </w:pPr>
    </w:p>
    <w:p w14:paraId="4E89478C"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lastRenderedPageBreak/>
        <w:t>Textual mode and hierarchy of rhetorical acts</w:t>
      </w:r>
    </w:p>
    <w:p w14:paraId="038AB223"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In the argumentative/expositive structure of the genre, the same rhetorical acts can be Nucleus and Satellite, in other words, main claims and supporting claims, when they are used in different sections of the report. For example, “Stating strategies/methods/practices” may be the main point of a stretch of text or it may have a “satellite” (supporting) function somewhere else, as when stating values and supporting the value statement with reference to strategies/methods/practices. </w:t>
      </w:r>
    </w:p>
    <w:p w14:paraId="7AE087E2"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In a complex genre like CSR reports, even in a single section sometimes it becomes problematic and complicated to figure out the Nucleus and Satellites. The sequence of moves exemplified above, for example, can be read in different ways: on the one hand (on a more explicit and external level) one can say that its direct function is to </w:t>
      </w:r>
      <w:r w:rsidRPr="00640A8F">
        <w:rPr>
          <w:rFonts w:ascii="Times New Roman" w:hAnsi="Times New Roman"/>
          <w:i/>
          <w:color w:val="auto"/>
          <w:sz w:val="20"/>
          <w:szCs w:val="20"/>
        </w:rPr>
        <w:t xml:space="preserve">report </w:t>
      </w:r>
      <w:r w:rsidRPr="00640A8F">
        <w:rPr>
          <w:rFonts w:ascii="Times New Roman" w:hAnsi="Times New Roman"/>
          <w:color w:val="auto"/>
          <w:sz w:val="20"/>
          <w:szCs w:val="20"/>
        </w:rPr>
        <w:t xml:space="preserve">and </w:t>
      </w:r>
      <w:r w:rsidRPr="00640A8F">
        <w:rPr>
          <w:rFonts w:ascii="Times New Roman" w:hAnsi="Times New Roman"/>
          <w:i/>
          <w:color w:val="auto"/>
          <w:sz w:val="20"/>
          <w:szCs w:val="20"/>
        </w:rPr>
        <w:t xml:space="preserve">give information </w:t>
      </w:r>
      <w:r w:rsidRPr="00640A8F">
        <w:rPr>
          <w:rFonts w:ascii="Times New Roman" w:hAnsi="Times New Roman"/>
          <w:color w:val="auto"/>
          <w:sz w:val="20"/>
          <w:szCs w:val="20"/>
        </w:rPr>
        <w:t xml:space="preserve">(Smith 2003), and its direct effect is </w:t>
      </w:r>
      <w:r w:rsidRPr="00640A8F">
        <w:rPr>
          <w:rFonts w:ascii="Times New Roman" w:hAnsi="Times New Roman"/>
          <w:i/>
          <w:color w:val="auto"/>
          <w:sz w:val="20"/>
          <w:szCs w:val="20"/>
        </w:rPr>
        <w:t>expositive</w:t>
      </w:r>
      <w:r w:rsidRPr="00640A8F">
        <w:rPr>
          <w:rFonts w:ascii="Times New Roman" w:hAnsi="Times New Roman"/>
          <w:color w:val="auto"/>
          <w:sz w:val="20"/>
          <w:szCs w:val="20"/>
        </w:rPr>
        <w:t xml:space="preserve"> (Wehrlich 1976), with the “Showing commitment” as a Satellite and supporting rhetorical act, intended to introduce the Nucleus “Stating strategies/methods/practices” and “Presenting performance”. On a more implicit and internal level, the text becomes inherently </w:t>
      </w:r>
      <w:r w:rsidRPr="00640A8F">
        <w:rPr>
          <w:rFonts w:ascii="Times New Roman" w:hAnsi="Times New Roman"/>
          <w:i/>
          <w:color w:val="auto"/>
          <w:sz w:val="20"/>
          <w:szCs w:val="20"/>
        </w:rPr>
        <w:t xml:space="preserve">argumentative </w:t>
      </w:r>
      <w:r w:rsidRPr="00640A8F">
        <w:rPr>
          <w:rFonts w:ascii="Times New Roman" w:hAnsi="Times New Roman"/>
          <w:color w:val="auto"/>
          <w:sz w:val="20"/>
          <w:szCs w:val="20"/>
        </w:rPr>
        <w:t xml:space="preserve">(Wehrlich 1976), especially from the point of view of corporate identity construction. On this level, “Stating strategies/methods/practices” and “Presenting performance” may become Satellites to support the main point, that is, the commitment statement, in order to highlight the company’s good intentions in CSR activities.  </w:t>
      </w:r>
    </w:p>
    <w:p w14:paraId="12C9D886"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While acknowledging the importance of this second-order reading of texts, the present study started from classifying the apparent and conventional level of the texts when categorizing the core moves and the peripheral moves. Different sections or subsections may be very different in the main communicative functions, and thus they may have different core moves and peripheral moves, but it is interesting to notice that the same communicative functions occur in different sections, although with diverse functions with the respect to the main point of the section.</w:t>
      </w:r>
    </w:p>
    <w:p w14:paraId="6484440D"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As mentioned in 4.2, the SP section and the PR section have different rhetorical functions, and this determines the choice of different core moves. Figure 9.7 shows the distribution of the moves in the CSR-ICE-T, comparing the SP section and the PR section. </w:t>
      </w:r>
    </w:p>
    <w:p w14:paraId="4133897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 </w:t>
      </w:r>
    </w:p>
    <w:p w14:paraId="712DF698" w14:textId="77777777" w:rsidR="00A8227E" w:rsidRPr="00640A8F" w:rsidRDefault="00A8227E" w:rsidP="00A8227E">
      <w:pPr>
        <w:spacing w:after="0" w:line="240" w:lineRule="auto"/>
        <w:jc w:val="both"/>
        <w:rPr>
          <w:rFonts w:ascii="Times New Roman" w:hAnsi="Times New Roman"/>
          <w:color w:val="auto"/>
          <w:sz w:val="20"/>
          <w:szCs w:val="20"/>
        </w:rPr>
      </w:pPr>
      <w:r w:rsidRPr="00A8227E">
        <w:rPr>
          <w:rFonts w:ascii="Times New Roman" w:hAnsi="Times New Roman"/>
          <w:noProof/>
          <w:color w:val="auto"/>
          <w:sz w:val="20"/>
          <w:szCs w:val="20"/>
          <w:lang w:val="it-IT" w:eastAsia="it-IT"/>
        </w:rPr>
        <w:drawing>
          <wp:inline distT="0" distB="0" distL="0" distR="0" wp14:anchorId="264916B3" wp14:editId="5CF895A9">
            <wp:extent cx="4796790" cy="4177665"/>
            <wp:effectExtent l="0" t="0" r="3810" b="13335"/>
            <wp:docPr id="4" name="图表 4">
              <a:extLst xmlns:a="http://schemas.openxmlformats.org/drawingml/2006/main">
                <a:ext uri="{FF2B5EF4-FFF2-40B4-BE49-F238E27FC236}">
                  <a16:creationId xmlns:a16="http://schemas.microsoft.com/office/drawing/2014/main" id="{00000000-0008-0000-03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B5A06EE" w14:textId="77777777" w:rsidR="00A8227E" w:rsidRPr="00640A8F" w:rsidRDefault="00A8227E" w:rsidP="00A8227E">
      <w:pPr>
        <w:spacing w:after="0" w:line="240" w:lineRule="auto"/>
        <w:jc w:val="both"/>
        <w:rPr>
          <w:rFonts w:ascii="Times New Roman" w:hAnsi="Times New Roman"/>
          <w:b/>
          <w:color w:val="auto"/>
          <w:sz w:val="20"/>
          <w:szCs w:val="20"/>
        </w:rPr>
      </w:pPr>
      <w:bookmarkStart w:id="12" w:name="_Hlk506731370"/>
      <w:r w:rsidRPr="00640A8F">
        <w:rPr>
          <w:rFonts w:ascii="Times New Roman" w:hAnsi="Times New Roman"/>
          <w:b/>
          <w:bCs/>
          <w:color w:val="auto"/>
          <w:sz w:val="20"/>
          <w:szCs w:val="20"/>
        </w:rPr>
        <w:t xml:space="preserve">Figure 9.7. </w:t>
      </w:r>
      <w:r w:rsidRPr="00640A8F">
        <w:rPr>
          <w:rFonts w:ascii="Times New Roman" w:hAnsi="Times New Roman"/>
          <w:bCs/>
          <w:color w:val="auto"/>
          <w:sz w:val="20"/>
          <w:szCs w:val="20"/>
        </w:rPr>
        <w:t xml:space="preserve">Moves in the SP section and PR section of CSR-ICE-T </w:t>
      </w:r>
      <w:bookmarkEnd w:id="12"/>
    </w:p>
    <w:p w14:paraId="17C8868B" w14:textId="77777777" w:rsidR="00A8227E" w:rsidRPr="00640A8F" w:rsidRDefault="00A8227E" w:rsidP="00A8227E">
      <w:pPr>
        <w:spacing w:after="0" w:line="240" w:lineRule="auto"/>
        <w:jc w:val="both"/>
        <w:rPr>
          <w:rFonts w:ascii="Times New Roman" w:hAnsi="Times New Roman"/>
          <w:color w:val="auto"/>
          <w:sz w:val="20"/>
          <w:szCs w:val="20"/>
        </w:rPr>
      </w:pPr>
    </w:p>
    <w:p w14:paraId="02DE512D"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moves “Presenting corporate profile”, “Presenting corporate governance”, “Stating values and beliefs”, and “Establishing credentials” have noticeably higher extensiveness in the SP section than in the PR section. Extensiveness is measured as the ratio of word tokens used for the move to the total number of tokens in the section. </w:t>
      </w:r>
    </w:p>
    <w:p w14:paraId="25DCD42F" w14:textId="77777777" w:rsidR="00A8227E" w:rsidRPr="00640A8F" w:rsidRDefault="00A8227E" w:rsidP="00A8227E">
      <w:pPr>
        <w:spacing w:after="0" w:line="240" w:lineRule="auto"/>
        <w:jc w:val="both"/>
        <w:rPr>
          <w:rFonts w:ascii="Times New Roman" w:hAnsi="Times New Roman"/>
          <w:color w:val="auto"/>
          <w:sz w:val="20"/>
          <w:szCs w:val="20"/>
        </w:rPr>
      </w:pPr>
    </w:p>
    <w:p w14:paraId="23C4E8B1"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four moves mentioned above are important and helpful in fulfilling the communicative needs of a self-presenting discourse and can be defined as core moves of the SP section. The next section will deal with these core moves in the SP section with greater details.</w:t>
      </w:r>
    </w:p>
    <w:p w14:paraId="541FA212" w14:textId="77777777" w:rsidR="00A8227E" w:rsidRPr="00640A8F" w:rsidRDefault="00A8227E" w:rsidP="00A8227E">
      <w:pPr>
        <w:spacing w:after="0" w:line="240" w:lineRule="auto"/>
        <w:jc w:val="both"/>
        <w:rPr>
          <w:rFonts w:ascii="Times New Roman" w:hAnsi="Times New Roman"/>
          <w:b/>
          <w:color w:val="auto"/>
          <w:sz w:val="20"/>
          <w:szCs w:val="20"/>
        </w:rPr>
      </w:pPr>
    </w:p>
    <w:p w14:paraId="5C996939"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lastRenderedPageBreak/>
        <w:t>4.6 Focus on the self-(re)presentation section</w:t>
      </w:r>
    </w:p>
    <w:p w14:paraId="0466A400"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This study paid special attention to forms of self-(re)presentation in providing general standard disclosures, and focuses on the four rhetorical moves:</w:t>
      </w:r>
    </w:p>
    <w:p w14:paraId="70AE43E0" w14:textId="77777777" w:rsidR="00A8227E" w:rsidRPr="00640A8F" w:rsidRDefault="00A8227E" w:rsidP="00A8227E">
      <w:pPr>
        <w:spacing w:after="0" w:line="240" w:lineRule="auto"/>
        <w:jc w:val="both"/>
        <w:rPr>
          <w:rFonts w:ascii="Times New Roman" w:hAnsi="Times New Roman"/>
          <w:color w:val="auto"/>
          <w:sz w:val="20"/>
          <w:szCs w:val="20"/>
        </w:rPr>
      </w:pPr>
    </w:p>
    <w:p w14:paraId="686EEB33" w14:textId="77777777" w:rsidR="00A8227E" w:rsidRPr="00640A8F" w:rsidRDefault="00A8227E" w:rsidP="00A8227E">
      <w:pPr>
        <w:pStyle w:val="Paragrafoelenco"/>
        <w:widowControl w:val="0"/>
        <w:numPr>
          <w:ilvl w:val="0"/>
          <w:numId w:val="1"/>
        </w:numPr>
        <w:suppressAutoHyphens w:val="0"/>
        <w:spacing w:after="0" w:line="240" w:lineRule="auto"/>
        <w:ind w:left="1196"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“Presenting corporate profile”,</w:t>
      </w:r>
    </w:p>
    <w:p w14:paraId="0241E311" w14:textId="77777777" w:rsidR="00A8227E" w:rsidRPr="00640A8F" w:rsidRDefault="00A8227E" w:rsidP="00A8227E">
      <w:pPr>
        <w:pStyle w:val="Paragrafoelenco"/>
        <w:widowControl w:val="0"/>
        <w:numPr>
          <w:ilvl w:val="0"/>
          <w:numId w:val="1"/>
        </w:numPr>
        <w:suppressAutoHyphens w:val="0"/>
        <w:spacing w:after="0" w:line="240" w:lineRule="auto"/>
        <w:ind w:left="1196"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“Presenting corporate governance”,</w:t>
      </w:r>
    </w:p>
    <w:p w14:paraId="34B0A6FE" w14:textId="77777777" w:rsidR="00A8227E" w:rsidRPr="00640A8F" w:rsidRDefault="00A8227E" w:rsidP="00A8227E">
      <w:pPr>
        <w:pStyle w:val="Paragrafoelenco"/>
        <w:widowControl w:val="0"/>
        <w:numPr>
          <w:ilvl w:val="0"/>
          <w:numId w:val="1"/>
        </w:numPr>
        <w:suppressAutoHyphens w:val="0"/>
        <w:spacing w:after="0" w:line="240" w:lineRule="auto"/>
        <w:ind w:left="1196"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“Stating values and beliefs” and</w:t>
      </w:r>
    </w:p>
    <w:p w14:paraId="7803315E" w14:textId="77777777" w:rsidR="00A8227E" w:rsidRPr="00640A8F" w:rsidRDefault="00A8227E" w:rsidP="00A8227E">
      <w:pPr>
        <w:pStyle w:val="Paragrafoelenco"/>
        <w:widowControl w:val="0"/>
        <w:numPr>
          <w:ilvl w:val="0"/>
          <w:numId w:val="1"/>
        </w:numPr>
        <w:suppressAutoHyphens w:val="0"/>
        <w:spacing w:after="0" w:line="240" w:lineRule="auto"/>
        <w:ind w:left="1196"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“Establishing credentials”.</w:t>
      </w:r>
    </w:p>
    <w:p w14:paraId="2D89E4DA" w14:textId="77777777" w:rsidR="00A8227E" w:rsidRPr="00640A8F" w:rsidRDefault="00A8227E" w:rsidP="00A8227E">
      <w:pPr>
        <w:spacing w:after="0" w:line="240" w:lineRule="auto"/>
        <w:ind w:firstLineChars="200" w:firstLine="400"/>
        <w:jc w:val="both"/>
        <w:rPr>
          <w:rFonts w:ascii="Times New Roman" w:hAnsi="Times New Roman"/>
          <w:color w:val="auto"/>
          <w:sz w:val="20"/>
          <w:szCs w:val="20"/>
        </w:rPr>
      </w:pPr>
    </w:p>
    <w:p w14:paraId="1E1D42DC" w14:textId="77777777" w:rsidR="00A8227E" w:rsidRPr="00640A8F" w:rsidRDefault="00A8227E" w:rsidP="00A8227E">
      <w:pPr>
        <w:spacing w:after="0" w:line="240" w:lineRule="auto"/>
        <w:ind w:firstLineChars="200" w:firstLine="400"/>
        <w:jc w:val="both"/>
        <w:rPr>
          <w:rFonts w:ascii="Times New Roman" w:hAnsi="Times New Roman"/>
          <w:b/>
          <w:color w:val="auto"/>
          <w:sz w:val="20"/>
          <w:szCs w:val="20"/>
        </w:rPr>
      </w:pPr>
      <w:r w:rsidRPr="00640A8F">
        <w:rPr>
          <w:rFonts w:ascii="Times New Roman" w:hAnsi="Times New Roman"/>
          <w:b/>
          <w:color w:val="auto"/>
          <w:sz w:val="20"/>
          <w:szCs w:val="20"/>
        </w:rPr>
        <w:t>4.6.1 “Presenting corporate profile”</w:t>
      </w:r>
    </w:p>
    <w:p w14:paraId="639AA638"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“Presenting corporate profile” gives basic information on the company. The basic information includes the name, history, location, territorial presence, dimension, employee composition, products and services, area of business, membership and so on. The description of basic information of the company is often accompanied by evaluative language. This move is mainly composed by two steps:</w:t>
      </w:r>
    </w:p>
    <w:p w14:paraId="3EE7AA4E" w14:textId="77777777" w:rsidR="00A8227E" w:rsidRPr="00640A8F" w:rsidRDefault="00A8227E" w:rsidP="00A8227E">
      <w:pPr>
        <w:spacing w:after="0" w:line="240" w:lineRule="auto"/>
        <w:jc w:val="both"/>
        <w:rPr>
          <w:rFonts w:ascii="Times New Roman" w:hAnsi="Times New Roman"/>
          <w:color w:val="auto"/>
          <w:sz w:val="20"/>
          <w:szCs w:val="20"/>
        </w:rPr>
      </w:pPr>
    </w:p>
    <w:p w14:paraId="587D44C2" w14:textId="77777777" w:rsidR="00A8227E" w:rsidRPr="00640A8F" w:rsidRDefault="00A8227E" w:rsidP="00A8227E">
      <w:pPr>
        <w:spacing w:after="0" w:line="240" w:lineRule="auto"/>
        <w:ind w:leftChars="405" w:left="891"/>
        <w:jc w:val="both"/>
        <w:rPr>
          <w:rFonts w:ascii="Times New Roman" w:hAnsi="Times New Roman"/>
          <w:color w:val="auto"/>
          <w:sz w:val="20"/>
          <w:szCs w:val="20"/>
        </w:rPr>
      </w:pPr>
      <w:r w:rsidRPr="00640A8F">
        <w:rPr>
          <w:rFonts w:ascii="Times New Roman" w:hAnsi="Times New Roman"/>
          <w:color w:val="auto"/>
          <w:sz w:val="20"/>
          <w:szCs w:val="20"/>
        </w:rPr>
        <w:tab/>
        <w:t>Step 1. Providing the company’s basic information (INFO) and</w:t>
      </w:r>
    </w:p>
    <w:p w14:paraId="58C398D2" w14:textId="77777777" w:rsidR="00A8227E" w:rsidRPr="00640A8F" w:rsidRDefault="00A8227E" w:rsidP="00A8227E">
      <w:pPr>
        <w:spacing w:after="0" w:line="240" w:lineRule="auto"/>
        <w:ind w:leftChars="405" w:left="891"/>
        <w:jc w:val="both"/>
        <w:rPr>
          <w:rFonts w:ascii="Times New Roman" w:hAnsi="Times New Roman"/>
          <w:color w:val="auto"/>
          <w:sz w:val="20"/>
          <w:szCs w:val="20"/>
        </w:rPr>
      </w:pPr>
      <w:r w:rsidRPr="00640A8F">
        <w:rPr>
          <w:rFonts w:ascii="Times New Roman" w:hAnsi="Times New Roman"/>
          <w:color w:val="auto"/>
          <w:sz w:val="20"/>
          <w:szCs w:val="20"/>
        </w:rPr>
        <w:t>Step 2. Showing the company’s strength (STRENGTH).</w:t>
      </w:r>
    </w:p>
    <w:p w14:paraId="62CAA207" w14:textId="77777777" w:rsidR="00A8227E" w:rsidRPr="00640A8F" w:rsidRDefault="00A8227E" w:rsidP="00A8227E">
      <w:pPr>
        <w:spacing w:after="0" w:line="240" w:lineRule="auto"/>
        <w:ind w:leftChars="405" w:left="891"/>
        <w:jc w:val="both"/>
        <w:rPr>
          <w:rFonts w:ascii="Times New Roman" w:hAnsi="Times New Roman"/>
          <w:color w:val="auto"/>
          <w:sz w:val="20"/>
          <w:szCs w:val="20"/>
        </w:rPr>
      </w:pPr>
    </w:p>
    <w:p w14:paraId="12B6DC6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following examples illustrate the use of the move in the three languages, annotated with the two steps:</w:t>
      </w:r>
    </w:p>
    <w:p w14:paraId="0C3250E9" w14:textId="77777777" w:rsidR="00A8227E" w:rsidRPr="00640A8F" w:rsidRDefault="00A8227E" w:rsidP="00A8227E">
      <w:pPr>
        <w:spacing w:after="0" w:line="240" w:lineRule="auto"/>
        <w:jc w:val="both"/>
        <w:rPr>
          <w:rFonts w:ascii="Times New Roman" w:hAnsi="Times New Roman"/>
          <w:color w:val="auto"/>
          <w:sz w:val="20"/>
          <w:szCs w:val="20"/>
        </w:rPr>
      </w:pPr>
    </w:p>
    <w:p w14:paraId="0156A6EE" w14:textId="77777777" w:rsidR="00A8227E" w:rsidRPr="00640A8F" w:rsidRDefault="00A8227E" w:rsidP="00A8227E">
      <w:pPr>
        <w:spacing w:after="0" w:line="240" w:lineRule="auto"/>
        <w:ind w:left="284" w:right="284"/>
        <w:jc w:val="both"/>
        <w:rPr>
          <w:rFonts w:ascii="Times New Roman" w:hAnsi="Times New Roman"/>
          <w:color w:val="auto"/>
          <w:sz w:val="20"/>
          <w:szCs w:val="20"/>
        </w:rPr>
      </w:pPr>
      <w:r w:rsidRPr="00A8227E">
        <w:rPr>
          <w:rFonts w:ascii="Times New Roman" w:hAnsi="Times New Roman"/>
          <w:color w:val="auto"/>
          <w:sz w:val="20"/>
          <w:szCs w:val="20"/>
          <w:lang w:val="it-IT"/>
        </w:rPr>
        <w:t>(IT1)</w:t>
      </w:r>
      <w:r w:rsidRPr="00A8227E">
        <w:rPr>
          <w:rFonts w:ascii="Times New Roman" w:hAnsi="Times New Roman"/>
          <w:b/>
          <w:color w:val="auto"/>
          <w:sz w:val="20"/>
          <w:szCs w:val="20"/>
          <w:lang w:val="it-IT"/>
        </w:rPr>
        <w:t xml:space="preserve"> </w:t>
      </w:r>
      <w:r w:rsidRPr="00A8227E">
        <w:rPr>
          <w:rFonts w:ascii="Times New Roman" w:hAnsi="Times New Roman"/>
          <w:color w:val="auto"/>
          <w:sz w:val="20"/>
          <w:szCs w:val="20"/>
          <w:lang w:val="it-IT"/>
        </w:rPr>
        <w:t xml:space="preserve">Il Gruppo Intesa Sanpaolo è il </w:t>
      </w:r>
      <w:r w:rsidRPr="00A8227E">
        <w:rPr>
          <w:rFonts w:ascii="Times New Roman" w:hAnsi="Times New Roman"/>
          <w:i/>
          <w:color w:val="auto"/>
          <w:sz w:val="20"/>
          <w:szCs w:val="20"/>
          <w:lang w:val="it-IT"/>
        </w:rPr>
        <w:t>maggiore</w:t>
      </w:r>
      <w:r w:rsidRPr="00A8227E">
        <w:rPr>
          <w:rFonts w:ascii="Times New Roman" w:hAnsi="Times New Roman"/>
          <w:color w:val="auto"/>
          <w:sz w:val="20"/>
          <w:szCs w:val="20"/>
          <w:lang w:val="it-IT"/>
        </w:rPr>
        <w:t xml:space="preserve"> gruppo bancario in Italia, con circa 11,1 milioni di clienti e oltre 4.700 filiali, e uno dei</w:t>
      </w:r>
      <w:r w:rsidRPr="00A8227E">
        <w:rPr>
          <w:rFonts w:ascii="Times New Roman" w:hAnsi="Times New Roman"/>
          <w:i/>
          <w:color w:val="auto"/>
          <w:sz w:val="20"/>
          <w:szCs w:val="20"/>
          <w:lang w:val="it-IT"/>
        </w:rPr>
        <w:t xml:space="preserve"> principali</w:t>
      </w:r>
      <w:r w:rsidRPr="00A8227E">
        <w:rPr>
          <w:rFonts w:ascii="Times New Roman" w:hAnsi="Times New Roman"/>
          <w:color w:val="auto"/>
          <w:sz w:val="20"/>
          <w:szCs w:val="20"/>
          <w:lang w:val="it-IT"/>
        </w:rPr>
        <w:t xml:space="preserve"> in Europa. </w:t>
      </w:r>
      <w:r w:rsidRPr="00A8227E">
        <w:rPr>
          <w:rFonts w:ascii="Times New Roman" w:hAnsi="Times New Roman"/>
          <w:b/>
          <w:color w:val="auto"/>
          <w:sz w:val="20"/>
          <w:szCs w:val="20"/>
          <w:lang w:val="it-IT"/>
        </w:rPr>
        <w:t xml:space="preserve">(Info) </w:t>
      </w:r>
      <w:r w:rsidRPr="00A8227E">
        <w:rPr>
          <w:rFonts w:ascii="Times New Roman" w:hAnsi="Times New Roman"/>
          <w:color w:val="auto"/>
          <w:sz w:val="20"/>
          <w:szCs w:val="20"/>
          <w:lang w:val="it-IT"/>
        </w:rPr>
        <w:t>È il</w:t>
      </w:r>
      <w:r w:rsidRPr="00A8227E">
        <w:rPr>
          <w:rFonts w:ascii="Times New Roman" w:hAnsi="Times New Roman"/>
          <w:i/>
          <w:color w:val="auto"/>
          <w:sz w:val="20"/>
          <w:szCs w:val="20"/>
          <w:lang w:val="it-IT"/>
        </w:rPr>
        <w:t xml:space="preserve"> leader </w:t>
      </w:r>
      <w:r w:rsidRPr="00A8227E">
        <w:rPr>
          <w:rFonts w:ascii="Times New Roman" w:hAnsi="Times New Roman"/>
          <w:color w:val="auto"/>
          <w:sz w:val="20"/>
          <w:szCs w:val="20"/>
          <w:lang w:val="it-IT"/>
        </w:rPr>
        <w:t xml:space="preserve">italiano nelle attività finanziarie per famiglie e imprese, </w:t>
      </w:r>
      <w:r w:rsidRPr="00A8227E">
        <w:rPr>
          <w:rFonts w:ascii="Times New Roman" w:hAnsi="Times New Roman"/>
          <w:i/>
          <w:color w:val="auto"/>
          <w:sz w:val="20"/>
          <w:szCs w:val="20"/>
          <w:lang w:val="it-IT"/>
        </w:rPr>
        <w:t>in particolare</w:t>
      </w:r>
      <w:r w:rsidRPr="00A8227E">
        <w:rPr>
          <w:rFonts w:ascii="Times New Roman" w:hAnsi="Times New Roman"/>
          <w:color w:val="auto"/>
          <w:sz w:val="20"/>
          <w:szCs w:val="20"/>
          <w:lang w:val="it-IT"/>
        </w:rPr>
        <w:t xml:space="preserve"> nell'intermediazione bancaria, nel leasing, nei fondi pensione, nel risparmio gestito e nel factoring.</w:t>
      </w:r>
      <w:r w:rsidRPr="00A8227E">
        <w:rPr>
          <w:rFonts w:ascii="Times New Roman" w:hAnsi="Times New Roman"/>
          <w:b/>
          <w:color w:val="auto"/>
          <w:sz w:val="20"/>
          <w:szCs w:val="20"/>
          <w:lang w:val="it-IT"/>
        </w:rPr>
        <w:t xml:space="preserve"> </w:t>
      </w:r>
      <w:r w:rsidRPr="00640A8F">
        <w:rPr>
          <w:rFonts w:ascii="Times New Roman" w:hAnsi="Times New Roman"/>
          <w:b/>
          <w:color w:val="auto"/>
          <w:sz w:val="20"/>
          <w:szCs w:val="20"/>
        </w:rPr>
        <w:t>(Info+Strength)</w:t>
      </w:r>
      <w:r w:rsidRPr="00640A8F">
        <w:rPr>
          <w:rFonts w:ascii="Times New Roman" w:hAnsi="Times New Roman"/>
          <w:color w:val="auto"/>
          <w:sz w:val="20"/>
          <w:szCs w:val="20"/>
        </w:rPr>
        <w:t xml:space="preserve"> (Intesa Sanpaolo 2013).</w:t>
      </w:r>
    </w:p>
    <w:p w14:paraId="744EB959" w14:textId="77777777" w:rsidR="00A8227E" w:rsidRPr="00640A8F" w:rsidRDefault="00A8227E" w:rsidP="00A8227E">
      <w:pPr>
        <w:spacing w:after="0" w:line="240" w:lineRule="auto"/>
        <w:ind w:left="284" w:right="284"/>
        <w:jc w:val="both"/>
        <w:rPr>
          <w:rFonts w:ascii="Times New Roman" w:hAnsi="Times New Roman"/>
          <w:color w:val="auto"/>
          <w:sz w:val="20"/>
          <w:szCs w:val="20"/>
        </w:rPr>
      </w:pPr>
      <w:r w:rsidRPr="00640A8F">
        <w:rPr>
          <w:rFonts w:ascii="Times New Roman" w:hAnsi="Times New Roman"/>
          <w:color w:val="auto"/>
          <w:sz w:val="20"/>
          <w:szCs w:val="20"/>
        </w:rPr>
        <w:t>(CN1)中国工商银行股份有限公司前身为中国工商银行,成立于1984年1月1曰。2005年10月28日，本行整体改制为股份有限公司。2006年10月27曰，本行</w:t>
      </w:r>
      <w:r w:rsidRPr="00640A8F">
        <w:rPr>
          <w:rFonts w:ascii="Times New Roman" w:hAnsi="Times New Roman"/>
          <w:i/>
          <w:color w:val="auto"/>
          <w:sz w:val="20"/>
          <w:szCs w:val="20"/>
        </w:rPr>
        <w:t>成功</w:t>
      </w:r>
      <w:r w:rsidRPr="00640A8F">
        <w:rPr>
          <w:rFonts w:ascii="Times New Roman" w:hAnsi="Times New Roman"/>
          <w:color w:val="auto"/>
          <w:sz w:val="20"/>
          <w:szCs w:val="20"/>
        </w:rPr>
        <w:t>在上交所和香港联交所同日挂牌上市。</w:t>
      </w:r>
      <w:r w:rsidRPr="00640A8F">
        <w:rPr>
          <w:rFonts w:ascii="Times New Roman" w:hAnsi="Times New Roman"/>
          <w:b/>
          <w:color w:val="auto"/>
          <w:sz w:val="20"/>
          <w:szCs w:val="20"/>
        </w:rPr>
        <w:t>(Info)</w:t>
      </w:r>
      <w:r w:rsidRPr="00640A8F">
        <w:rPr>
          <w:rFonts w:ascii="Times New Roman" w:hAnsi="Times New Roman"/>
          <w:color w:val="auto"/>
          <w:sz w:val="20"/>
          <w:szCs w:val="20"/>
        </w:rPr>
        <w:t>通过持续努力和</w:t>
      </w:r>
      <w:r w:rsidRPr="00640A8F">
        <w:rPr>
          <w:rFonts w:ascii="Times New Roman" w:hAnsi="Times New Roman"/>
          <w:i/>
          <w:color w:val="auto"/>
          <w:sz w:val="20"/>
          <w:szCs w:val="20"/>
        </w:rPr>
        <w:t>稳健</w:t>
      </w:r>
      <w:r w:rsidRPr="00640A8F">
        <w:rPr>
          <w:rFonts w:ascii="Times New Roman" w:hAnsi="Times New Roman"/>
          <w:color w:val="auto"/>
          <w:sz w:val="20"/>
          <w:szCs w:val="20"/>
        </w:rPr>
        <w:t>发展，本行已经迈入世界</w:t>
      </w:r>
      <w:r w:rsidRPr="00640A8F">
        <w:rPr>
          <w:rFonts w:ascii="Times New Roman" w:hAnsi="Times New Roman"/>
          <w:i/>
          <w:color w:val="auto"/>
          <w:sz w:val="20"/>
          <w:szCs w:val="20"/>
        </w:rPr>
        <w:t>领先</w:t>
      </w:r>
      <w:r w:rsidRPr="00640A8F">
        <w:rPr>
          <w:rFonts w:ascii="Times New Roman" w:hAnsi="Times New Roman"/>
          <w:color w:val="auto"/>
          <w:sz w:val="20"/>
          <w:szCs w:val="20"/>
        </w:rPr>
        <w:t>大银行行列，拥有</w:t>
      </w:r>
      <w:r w:rsidRPr="00640A8F">
        <w:rPr>
          <w:rFonts w:ascii="Times New Roman" w:hAnsi="Times New Roman"/>
          <w:i/>
          <w:color w:val="auto"/>
          <w:sz w:val="20"/>
          <w:szCs w:val="20"/>
        </w:rPr>
        <w:t>优质</w:t>
      </w:r>
      <w:r w:rsidRPr="00640A8F">
        <w:rPr>
          <w:rFonts w:ascii="Times New Roman" w:hAnsi="Times New Roman"/>
          <w:color w:val="auto"/>
          <w:sz w:val="20"/>
          <w:szCs w:val="20"/>
        </w:rPr>
        <w:t>的客户基础、</w:t>
      </w:r>
      <w:r w:rsidRPr="00640A8F">
        <w:rPr>
          <w:rFonts w:ascii="Times New Roman" w:hAnsi="Times New Roman"/>
          <w:i/>
          <w:color w:val="auto"/>
          <w:sz w:val="20"/>
          <w:szCs w:val="20"/>
        </w:rPr>
        <w:t>多元</w:t>
      </w:r>
      <w:r w:rsidRPr="00640A8F">
        <w:rPr>
          <w:rFonts w:ascii="Times New Roman" w:hAnsi="Times New Roman"/>
          <w:color w:val="auto"/>
          <w:sz w:val="20"/>
          <w:szCs w:val="20"/>
        </w:rPr>
        <w:t>的业务结构、</w:t>
      </w:r>
      <w:r w:rsidRPr="00640A8F">
        <w:rPr>
          <w:rFonts w:ascii="Times New Roman" w:hAnsi="Times New Roman"/>
          <w:i/>
          <w:color w:val="auto"/>
          <w:sz w:val="20"/>
          <w:szCs w:val="20"/>
        </w:rPr>
        <w:t>强劲</w:t>
      </w:r>
      <w:r w:rsidRPr="00640A8F">
        <w:rPr>
          <w:rFonts w:ascii="Times New Roman" w:hAnsi="Times New Roman"/>
          <w:color w:val="auto"/>
          <w:sz w:val="20"/>
          <w:szCs w:val="20"/>
        </w:rPr>
        <w:t>的创新能力和市场竞争力。</w:t>
      </w:r>
      <w:r w:rsidRPr="00640A8F">
        <w:rPr>
          <w:rFonts w:ascii="Times New Roman" w:hAnsi="Times New Roman"/>
          <w:b/>
          <w:color w:val="auto"/>
          <w:sz w:val="20"/>
          <w:szCs w:val="20"/>
        </w:rPr>
        <w:t>(Info+Strength)</w:t>
      </w:r>
      <w:r w:rsidRPr="00640A8F">
        <w:rPr>
          <w:rFonts w:ascii="Times New Roman" w:hAnsi="Times New Roman"/>
          <w:color w:val="auto"/>
          <w:sz w:val="20"/>
          <w:szCs w:val="20"/>
        </w:rPr>
        <w:t xml:space="preserve"> (工行 2013). [(CN1-Translation by ICBC) Industrial and Commercial Bank of China Limited, developed from Industrial and Commercial Bank of China, was incorporated on January 1, 1984. The Bank was wholly restructured to a joint-stock limited company on October 28, 2005. On October 27, 2006, the Bank was listed on both the Shanghai Stock Exchange and the Stock Exchange of Hong Kong Limited. </w:t>
      </w:r>
      <w:r w:rsidRPr="00640A8F">
        <w:rPr>
          <w:rFonts w:ascii="Times New Roman" w:hAnsi="Times New Roman"/>
          <w:b/>
          <w:color w:val="auto"/>
          <w:sz w:val="20"/>
          <w:szCs w:val="20"/>
        </w:rPr>
        <w:t xml:space="preserve">(Info) </w:t>
      </w:r>
      <w:r w:rsidRPr="00640A8F">
        <w:rPr>
          <w:rFonts w:ascii="Times New Roman" w:hAnsi="Times New Roman"/>
          <w:color w:val="auto"/>
          <w:sz w:val="20"/>
          <w:szCs w:val="20"/>
        </w:rPr>
        <w:t xml:space="preserve">Through its continuous endeavor and stable development, the Bank has developed into one of the top large banks in the world with an excellent customer base, a diversified business structure, strong innovation capabilities and market competitiveness. </w:t>
      </w:r>
      <w:r w:rsidRPr="00640A8F">
        <w:rPr>
          <w:rFonts w:ascii="Times New Roman" w:hAnsi="Times New Roman"/>
          <w:b/>
          <w:color w:val="auto"/>
          <w:sz w:val="20"/>
          <w:szCs w:val="20"/>
        </w:rPr>
        <w:t xml:space="preserve">(Info+Strength) </w:t>
      </w:r>
      <w:r w:rsidRPr="00640A8F">
        <w:rPr>
          <w:rFonts w:ascii="Times New Roman" w:hAnsi="Times New Roman"/>
          <w:color w:val="auto"/>
          <w:sz w:val="20"/>
          <w:szCs w:val="20"/>
        </w:rPr>
        <w:t>(ICBC 2013)]</w:t>
      </w:r>
    </w:p>
    <w:p w14:paraId="0B2970B7" w14:textId="77777777" w:rsidR="00A8227E" w:rsidRPr="00640A8F" w:rsidRDefault="00A8227E" w:rsidP="00A8227E">
      <w:pPr>
        <w:spacing w:after="0" w:line="240" w:lineRule="auto"/>
        <w:ind w:left="284" w:right="284"/>
        <w:jc w:val="both"/>
        <w:rPr>
          <w:rFonts w:ascii="Times New Roman" w:hAnsi="Times New Roman"/>
          <w:color w:val="auto"/>
          <w:sz w:val="20"/>
          <w:szCs w:val="20"/>
        </w:rPr>
      </w:pPr>
      <w:r w:rsidRPr="00640A8F">
        <w:rPr>
          <w:rFonts w:ascii="Times New Roman" w:hAnsi="Times New Roman"/>
          <w:color w:val="auto"/>
          <w:sz w:val="20"/>
          <w:szCs w:val="20"/>
        </w:rPr>
        <w:t xml:space="preserve">(EN1) BP is one of the world's </w:t>
      </w:r>
      <w:r w:rsidRPr="00640A8F">
        <w:rPr>
          <w:rFonts w:ascii="Times New Roman" w:hAnsi="Times New Roman"/>
          <w:i/>
          <w:color w:val="auto"/>
          <w:sz w:val="20"/>
          <w:szCs w:val="20"/>
        </w:rPr>
        <w:t>leading</w:t>
      </w:r>
      <w:r w:rsidRPr="00640A8F">
        <w:rPr>
          <w:rFonts w:ascii="Times New Roman" w:hAnsi="Times New Roman"/>
          <w:color w:val="auto"/>
          <w:sz w:val="20"/>
          <w:szCs w:val="20"/>
        </w:rPr>
        <w:t xml:space="preserve"> integrated oil and gas companies.</w:t>
      </w:r>
      <w:r w:rsidRPr="00640A8F">
        <w:rPr>
          <w:rFonts w:ascii="Times New Roman" w:hAnsi="Times New Roman"/>
          <w:b/>
          <w:color w:val="auto"/>
          <w:sz w:val="20"/>
          <w:szCs w:val="20"/>
        </w:rPr>
        <w:t xml:space="preserve"> (Info+Strength) </w:t>
      </w:r>
      <w:r w:rsidRPr="00640A8F">
        <w:rPr>
          <w:rFonts w:ascii="Times New Roman" w:hAnsi="Times New Roman"/>
          <w:i/>
          <w:color w:val="auto"/>
          <w:sz w:val="20"/>
          <w:szCs w:val="20"/>
        </w:rPr>
        <w:t>Through our work</w:t>
      </w:r>
      <w:r w:rsidRPr="00640A8F">
        <w:rPr>
          <w:rFonts w:ascii="Times New Roman" w:hAnsi="Times New Roman"/>
          <w:color w:val="auto"/>
          <w:sz w:val="20"/>
          <w:szCs w:val="20"/>
        </w:rPr>
        <w:t xml:space="preserve"> we provide customers with fuel for transportation, energy for heat and light, lubricants to keep engines moving and the petrochemicals products used to make everyday items </w:t>
      </w:r>
      <w:r w:rsidRPr="00640A8F">
        <w:rPr>
          <w:rFonts w:ascii="Times New Roman" w:hAnsi="Times New Roman"/>
          <w:i/>
          <w:color w:val="auto"/>
          <w:sz w:val="20"/>
          <w:szCs w:val="20"/>
        </w:rPr>
        <w:t xml:space="preserve">as diverse as </w:t>
      </w:r>
      <w:r w:rsidRPr="00640A8F">
        <w:rPr>
          <w:rFonts w:ascii="Times New Roman" w:hAnsi="Times New Roman"/>
          <w:color w:val="auto"/>
          <w:sz w:val="20"/>
          <w:szCs w:val="20"/>
        </w:rPr>
        <w:t xml:space="preserve">paints, clothes and packaging. </w:t>
      </w:r>
      <w:r w:rsidRPr="00640A8F">
        <w:rPr>
          <w:rFonts w:ascii="Times New Roman" w:hAnsi="Times New Roman"/>
          <w:b/>
          <w:color w:val="auto"/>
          <w:sz w:val="20"/>
          <w:szCs w:val="20"/>
        </w:rPr>
        <w:t>(Info)</w:t>
      </w:r>
      <w:r w:rsidRPr="00640A8F">
        <w:rPr>
          <w:rFonts w:ascii="Times New Roman" w:hAnsi="Times New Roman"/>
          <w:color w:val="auto"/>
          <w:sz w:val="20"/>
          <w:szCs w:val="20"/>
        </w:rPr>
        <w:t xml:space="preserve"> (BP 2013)</w:t>
      </w:r>
    </w:p>
    <w:p w14:paraId="4FD5D25A" w14:textId="77777777" w:rsidR="00A8227E" w:rsidRPr="00640A8F" w:rsidRDefault="00A8227E" w:rsidP="00A8227E">
      <w:pPr>
        <w:spacing w:after="0" w:line="240" w:lineRule="auto"/>
        <w:ind w:left="284" w:right="284"/>
        <w:jc w:val="both"/>
        <w:rPr>
          <w:rFonts w:ascii="Times New Roman" w:hAnsi="Times New Roman"/>
          <w:color w:val="auto"/>
          <w:sz w:val="20"/>
          <w:szCs w:val="20"/>
        </w:rPr>
      </w:pPr>
    </w:p>
    <w:p w14:paraId="58F3B78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In the above examples the step INFO is used independently, while the step STRENGTH is used together with INFO. This frequent combination of the two steps implies that when presenting the strength, the company is often simultaneously providing some kind of information. “Bald” statements about the company’s strength are probably perceived as inappropriate.</w:t>
      </w:r>
    </w:p>
    <w:p w14:paraId="18D4F1B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This move often uses evaluative language, as shown by words and expressions in Italics in the examples above. Even the step providing the company’s basic information is often accompanied by evaluative elements. In (IT1), there are evaluative words like “maggiore” and “principali”. In (CN1), there is </w:t>
      </w:r>
      <w:r w:rsidRPr="00640A8F">
        <w:rPr>
          <w:rFonts w:ascii="Times New Roman" w:hAnsi="Times New Roman"/>
          <w:i/>
          <w:color w:val="auto"/>
          <w:sz w:val="20"/>
          <w:szCs w:val="20"/>
        </w:rPr>
        <w:t xml:space="preserve">成功cheng2gong1 </w:t>
      </w:r>
      <w:r w:rsidRPr="00640A8F">
        <w:rPr>
          <w:rFonts w:ascii="Times New Roman" w:hAnsi="Times New Roman"/>
          <w:color w:val="auto"/>
          <w:sz w:val="20"/>
          <w:szCs w:val="20"/>
        </w:rPr>
        <w:t xml:space="preserve">“successfully”. (EN1), uses evaluation such as “as diverse as” and the fronting of “through our work”. By making the adverbial explicit and placing it at the beginning of the sentence in thematic position, the company emphasizes its own role. The rhetorical strategies of front position and over-explicit description convey implicit evaluative elements. </w:t>
      </w:r>
    </w:p>
    <w:p w14:paraId="3C4AB9E0"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In a comparative perspective, the extensiveness of the move is similar in Italian and Chinese, while the English reports dedicate much less space to providing the company’s basic information and presenting the corporate profile, as shown in Table 9.4.</w:t>
      </w:r>
    </w:p>
    <w:p w14:paraId="19C99487" w14:textId="77777777" w:rsidR="00A8227E" w:rsidRPr="00640A8F" w:rsidRDefault="00A8227E" w:rsidP="00A8227E">
      <w:pPr>
        <w:spacing w:after="0" w:line="240" w:lineRule="auto"/>
        <w:jc w:val="both"/>
        <w:rPr>
          <w:rFonts w:ascii="Times New Roman" w:hAnsi="Times New Roman"/>
          <w:color w:val="auto"/>
          <w:sz w:val="20"/>
          <w:szCs w:val="20"/>
        </w:rPr>
      </w:pPr>
    </w:p>
    <w:tbl>
      <w:tblPr>
        <w:tblW w:w="0" w:type="auto"/>
        <w:tblInd w:w="534" w:type="dxa"/>
        <w:tblLook w:val="04A0" w:firstRow="1" w:lastRow="0" w:firstColumn="1" w:lastColumn="0" w:noHBand="0" w:noVBand="1"/>
      </w:tblPr>
      <w:tblGrid>
        <w:gridCol w:w="1783"/>
        <w:gridCol w:w="1219"/>
        <w:gridCol w:w="1353"/>
        <w:gridCol w:w="1329"/>
      </w:tblGrid>
      <w:tr w:rsidR="00A8227E" w:rsidRPr="00640A8F" w14:paraId="0CBEE699" w14:textId="77777777" w:rsidTr="00C0667F">
        <w:trPr>
          <w:trHeight w:val="709"/>
        </w:trPr>
        <w:tc>
          <w:tcPr>
            <w:tcW w:w="1783" w:type="dxa"/>
            <w:hideMark/>
          </w:tcPr>
          <w:p w14:paraId="6553C3D3"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Moves in ‘Self-presentation’</w:t>
            </w:r>
          </w:p>
        </w:tc>
        <w:tc>
          <w:tcPr>
            <w:tcW w:w="0" w:type="auto"/>
            <w:noWrap/>
            <w:hideMark/>
          </w:tcPr>
          <w:p w14:paraId="598C6C1D"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CSR-Ita-T</w:t>
            </w:r>
          </w:p>
        </w:tc>
        <w:tc>
          <w:tcPr>
            <w:tcW w:w="0" w:type="auto"/>
            <w:noWrap/>
            <w:hideMark/>
          </w:tcPr>
          <w:p w14:paraId="7B1C750A"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CSR-Chn-T</w:t>
            </w:r>
          </w:p>
        </w:tc>
        <w:tc>
          <w:tcPr>
            <w:tcW w:w="0" w:type="auto"/>
            <w:hideMark/>
          </w:tcPr>
          <w:p w14:paraId="0DC2FF0A"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CSR-Eng-T</w:t>
            </w:r>
          </w:p>
        </w:tc>
      </w:tr>
      <w:tr w:rsidR="00A8227E" w:rsidRPr="00640A8F" w14:paraId="2A2E3C58" w14:textId="77777777" w:rsidTr="00C0667F">
        <w:trPr>
          <w:trHeight w:val="265"/>
        </w:trPr>
        <w:tc>
          <w:tcPr>
            <w:tcW w:w="1783" w:type="dxa"/>
            <w:hideMark/>
          </w:tcPr>
          <w:p w14:paraId="12A12565"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 Corp. profile</w:t>
            </w:r>
          </w:p>
        </w:tc>
        <w:tc>
          <w:tcPr>
            <w:tcW w:w="0" w:type="auto"/>
            <w:hideMark/>
          </w:tcPr>
          <w:p w14:paraId="4B2454CE"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11.3%</w:t>
            </w:r>
          </w:p>
        </w:tc>
        <w:tc>
          <w:tcPr>
            <w:tcW w:w="0" w:type="auto"/>
            <w:hideMark/>
          </w:tcPr>
          <w:p w14:paraId="4BD636C1"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11.6%</w:t>
            </w:r>
          </w:p>
        </w:tc>
        <w:tc>
          <w:tcPr>
            <w:tcW w:w="0" w:type="auto"/>
            <w:hideMark/>
          </w:tcPr>
          <w:p w14:paraId="73FF74BC"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2.9%</w:t>
            </w:r>
          </w:p>
        </w:tc>
      </w:tr>
    </w:tbl>
    <w:p w14:paraId="4ACDD31C" w14:textId="77777777" w:rsidR="00A8227E" w:rsidRPr="00640A8F" w:rsidRDefault="00A8227E" w:rsidP="00A8227E">
      <w:pPr>
        <w:spacing w:after="0" w:line="240" w:lineRule="auto"/>
        <w:jc w:val="both"/>
        <w:rPr>
          <w:rFonts w:ascii="Times New Roman" w:hAnsi="Times New Roman"/>
          <w:color w:val="auto"/>
          <w:sz w:val="20"/>
          <w:szCs w:val="20"/>
        </w:rPr>
      </w:pPr>
      <w:bookmarkStart w:id="13" w:name="_Hlk506731406"/>
      <w:r w:rsidRPr="00640A8F">
        <w:rPr>
          <w:rFonts w:ascii="Times New Roman" w:hAnsi="Times New Roman"/>
          <w:b/>
          <w:color w:val="auto"/>
          <w:sz w:val="20"/>
          <w:szCs w:val="20"/>
        </w:rPr>
        <w:t>Table 9.4.</w:t>
      </w:r>
      <w:r w:rsidRPr="00640A8F">
        <w:rPr>
          <w:rFonts w:ascii="Times New Roman" w:hAnsi="Times New Roman"/>
          <w:color w:val="auto"/>
          <w:sz w:val="20"/>
          <w:szCs w:val="20"/>
        </w:rPr>
        <w:t xml:space="preserve"> “Presenting corporate profile” in SP section ( CSR-Ita-T/ CSR-Chn-T/CSR-Eng-T)</w:t>
      </w:r>
    </w:p>
    <w:bookmarkEnd w:id="13"/>
    <w:p w14:paraId="5528BC87" w14:textId="77777777" w:rsidR="00A8227E" w:rsidRPr="00640A8F" w:rsidRDefault="00A8227E" w:rsidP="00A8227E">
      <w:pPr>
        <w:spacing w:after="0" w:line="240" w:lineRule="auto"/>
        <w:jc w:val="both"/>
        <w:rPr>
          <w:rFonts w:ascii="Times New Roman" w:hAnsi="Times New Roman"/>
          <w:b/>
          <w:color w:val="auto"/>
          <w:sz w:val="20"/>
          <w:szCs w:val="20"/>
        </w:rPr>
      </w:pPr>
    </w:p>
    <w:p w14:paraId="16D55B57"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4.6.2 “Presenting corporate governance”</w:t>
      </w:r>
    </w:p>
    <w:p w14:paraId="121DD95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lastRenderedPageBreak/>
        <w:t>This move describes the way that the company is managed at highest level, and the systems for doing this. The main steps of this move are:</w:t>
      </w:r>
    </w:p>
    <w:p w14:paraId="1E27DC6A" w14:textId="77777777" w:rsidR="00A8227E" w:rsidRPr="00640A8F" w:rsidRDefault="00A8227E" w:rsidP="00A8227E">
      <w:pPr>
        <w:spacing w:after="0" w:line="240" w:lineRule="auto"/>
        <w:jc w:val="both"/>
        <w:rPr>
          <w:rFonts w:ascii="Times New Roman" w:hAnsi="Times New Roman"/>
          <w:color w:val="auto"/>
          <w:sz w:val="20"/>
          <w:szCs w:val="20"/>
        </w:rPr>
      </w:pPr>
    </w:p>
    <w:p w14:paraId="7A3F8102" w14:textId="77777777" w:rsidR="00A8227E" w:rsidRPr="00640A8F" w:rsidRDefault="00A8227E" w:rsidP="00A8227E">
      <w:pPr>
        <w:pStyle w:val="Paragrafoelenco"/>
        <w:widowControl w:val="0"/>
        <w:numPr>
          <w:ilvl w:val="0"/>
          <w:numId w:val="1"/>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Detailing detailing an internal action (INT. ACT.) and</w:t>
      </w:r>
    </w:p>
    <w:p w14:paraId="714513E6" w14:textId="77777777" w:rsidR="00A8227E" w:rsidRPr="00640A8F" w:rsidRDefault="00A8227E" w:rsidP="00A8227E">
      <w:pPr>
        <w:pStyle w:val="Paragrafoelenco"/>
        <w:widowControl w:val="0"/>
        <w:numPr>
          <w:ilvl w:val="0"/>
          <w:numId w:val="1"/>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Communicating communicating strategies/methods/practices (SMP).</w:t>
      </w:r>
    </w:p>
    <w:p w14:paraId="0219473C" w14:textId="77777777" w:rsidR="00A8227E" w:rsidRPr="00640A8F" w:rsidRDefault="00A8227E" w:rsidP="00A8227E">
      <w:pPr>
        <w:spacing w:after="0" w:line="240" w:lineRule="auto"/>
        <w:jc w:val="both"/>
        <w:rPr>
          <w:rFonts w:ascii="Times New Roman" w:hAnsi="Times New Roman"/>
          <w:color w:val="auto"/>
          <w:sz w:val="20"/>
          <w:szCs w:val="20"/>
        </w:rPr>
      </w:pPr>
    </w:p>
    <w:p w14:paraId="1ECE72D6" w14:textId="77777777" w:rsidR="00A8227E" w:rsidRPr="00A8227E" w:rsidRDefault="00A8227E" w:rsidP="00A8227E">
      <w:pPr>
        <w:spacing w:after="0" w:line="240" w:lineRule="auto"/>
        <w:jc w:val="both"/>
        <w:rPr>
          <w:rFonts w:ascii="Times New Roman" w:hAnsi="Times New Roman"/>
          <w:color w:val="auto"/>
          <w:sz w:val="20"/>
          <w:szCs w:val="20"/>
          <w:lang w:val="it-IT"/>
        </w:rPr>
      </w:pPr>
      <w:r w:rsidRPr="00A8227E">
        <w:rPr>
          <w:rFonts w:ascii="Times New Roman" w:hAnsi="Times New Roman"/>
          <w:color w:val="auto"/>
          <w:sz w:val="20"/>
          <w:szCs w:val="20"/>
          <w:lang w:val="it-IT"/>
        </w:rPr>
        <w:t>Consider, for example:</w:t>
      </w:r>
    </w:p>
    <w:p w14:paraId="71182B65" w14:textId="77777777" w:rsidR="00A8227E" w:rsidRPr="00A8227E" w:rsidRDefault="00A8227E" w:rsidP="00A8227E">
      <w:pPr>
        <w:spacing w:after="0" w:line="240" w:lineRule="auto"/>
        <w:jc w:val="both"/>
        <w:rPr>
          <w:rFonts w:ascii="Times New Roman" w:hAnsi="Times New Roman"/>
          <w:color w:val="auto"/>
          <w:sz w:val="20"/>
          <w:szCs w:val="20"/>
          <w:lang w:val="it-IT"/>
        </w:rPr>
      </w:pPr>
    </w:p>
    <w:p w14:paraId="4745C69D" w14:textId="77777777" w:rsidR="00A8227E" w:rsidRPr="00A8227E" w:rsidRDefault="00A8227E" w:rsidP="00A8227E">
      <w:pPr>
        <w:spacing w:after="0" w:line="240" w:lineRule="auto"/>
        <w:ind w:leftChars="202" w:left="444"/>
        <w:jc w:val="both"/>
        <w:rPr>
          <w:rFonts w:ascii="Times New Roman" w:hAnsi="Times New Roman"/>
          <w:color w:val="auto"/>
          <w:sz w:val="20"/>
          <w:szCs w:val="20"/>
          <w:lang w:val="it-IT"/>
        </w:rPr>
      </w:pPr>
      <w:r w:rsidRPr="00A8227E">
        <w:rPr>
          <w:rFonts w:ascii="Times New Roman" w:hAnsi="Times New Roman"/>
          <w:color w:val="auto"/>
          <w:sz w:val="20"/>
          <w:szCs w:val="20"/>
          <w:lang w:val="it-IT"/>
        </w:rPr>
        <w:t xml:space="preserve">(IT2) La struttura di governance di Edison, fondata sul modello organizzativo tradizionale, </w:t>
      </w:r>
      <w:r w:rsidRPr="00A8227E">
        <w:rPr>
          <w:rFonts w:ascii="Times New Roman" w:hAnsi="Times New Roman"/>
          <w:b/>
          <w:color w:val="auto"/>
          <w:sz w:val="20"/>
          <w:szCs w:val="20"/>
          <w:lang w:val="it-IT"/>
        </w:rPr>
        <w:t xml:space="preserve">(INT. ACT.) </w:t>
      </w:r>
      <w:r w:rsidRPr="00A8227E">
        <w:rPr>
          <w:rFonts w:ascii="Times New Roman" w:hAnsi="Times New Roman"/>
          <w:color w:val="auto"/>
          <w:sz w:val="20"/>
          <w:szCs w:val="20"/>
          <w:lang w:val="it-IT"/>
        </w:rPr>
        <w:t xml:space="preserve">risponde alle indicazioni del codice di autoregolamentazione in materia di governo societario promosso da Borsa Italiana </w:t>
      </w:r>
      <w:r w:rsidRPr="00A8227E">
        <w:rPr>
          <w:rFonts w:ascii="Times New Roman" w:hAnsi="Times New Roman"/>
          <w:b/>
          <w:color w:val="auto"/>
          <w:sz w:val="20"/>
          <w:szCs w:val="20"/>
          <w:lang w:val="it-IT"/>
        </w:rPr>
        <w:t>(SMP)</w:t>
      </w:r>
      <w:r w:rsidRPr="00A8227E">
        <w:rPr>
          <w:rFonts w:ascii="Times New Roman" w:hAnsi="Times New Roman"/>
          <w:color w:val="auto"/>
          <w:sz w:val="20"/>
          <w:szCs w:val="20"/>
          <w:lang w:val="it-IT"/>
        </w:rPr>
        <w:t xml:space="preserve">, e si compone dei seguenti organi: </w:t>
      </w:r>
    </w:p>
    <w:p w14:paraId="5AE157DD" w14:textId="77777777" w:rsidR="00A8227E" w:rsidRPr="00A8227E" w:rsidRDefault="00A8227E" w:rsidP="00A8227E">
      <w:pPr>
        <w:spacing w:after="0" w:line="240" w:lineRule="auto"/>
        <w:ind w:leftChars="203" w:left="447"/>
        <w:jc w:val="both"/>
        <w:rPr>
          <w:rFonts w:ascii="Times New Roman" w:hAnsi="Times New Roman"/>
          <w:color w:val="auto"/>
          <w:sz w:val="20"/>
          <w:szCs w:val="20"/>
          <w:lang w:val="it-IT"/>
        </w:rPr>
      </w:pPr>
      <w:r w:rsidRPr="00A8227E">
        <w:rPr>
          <w:rFonts w:ascii="Times New Roman" w:hAnsi="Times New Roman"/>
          <w:color w:val="auto"/>
          <w:sz w:val="20"/>
          <w:szCs w:val="20"/>
          <w:lang w:val="it-IT"/>
        </w:rPr>
        <w:t>Assemblea dei Soci</w:t>
      </w:r>
    </w:p>
    <w:p w14:paraId="11F4A988" w14:textId="77777777" w:rsidR="00A8227E" w:rsidRPr="00A8227E" w:rsidRDefault="00A8227E" w:rsidP="00A8227E">
      <w:pPr>
        <w:spacing w:after="0" w:line="240" w:lineRule="auto"/>
        <w:ind w:leftChars="203" w:left="447"/>
        <w:jc w:val="both"/>
        <w:rPr>
          <w:rFonts w:ascii="Times New Roman" w:hAnsi="Times New Roman"/>
          <w:color w:val="auto"/>
          <w:sz w:val="20"/>
          <w:szCs w:val="20"/>
          <w:lang w:val="it-IT"/>
        </w:rPr>
      </w:pPr>
      <w:r w:rsidRPr="00A8227E">
        <w:rPr>
          <w:rFonts w:ascii="Times New Roman" w:hAnsi="Times New Roman"/>
          <w:color w:val="auto"/>
          <w:sz w:val="20"/>
          <w:szCs w:val="20"/>
          <w:lang w:val="it-IT"/>
        </w:rPr>
        <w:t xml:space="preserve">Consiglio di Amministrazione </w:t>
      </w:r>
    </w:p>
    <w:p w14:paraId="72187DA0" w14:textId="77777777" w:rsidR="00A8227E" w:rsidRPr="00A8227E" w:rsidRDefault="00A8227E" w:rsidP="00A8227E">
      <w:pPr>
        <w:spacing w:after="0" w:line="240" w:lineRule="auto"/>
        <w:ind w:leftChars="203" w:left="447"/>
        <w:jc w:val="both"/>
        <w:rPr>
          <w:rFonts w:ascii="Times New Roman" w:hAnsi="Times New Roman"/>
          <w:color w:val="auto"/>
          <w:sz w:val="20"/>
          <w:szCs w:val="20"/>
          <w:lang w:val="it-IT"/>
        </w:rPr>
      </w:pPr>
      <w:r w:rsidRPr="00A8227E">
        <w:rPr>
          <w:rFonts w:ascii="Times New Roman" w:hAnsi="Times New Roman"/>
          <w:color w:val="auto"/>
          <w:sz w:val="20"/>
          <w:szCs w:val="20"/>
          <w:lang w:val="it-IT"/>
        </w:rPr>
        <w:t xml:space="preserve">[...] </w:t>
      </w:r>
    </w:p>
    <w:p w14:paraId="30985E4F" w14:textId="77777777" w:rsidR="00A8227E" w:rsidRPr="00A8227E" w:rsidRDefault="00A8227E" w:rsidP="00A8227E">
      <w:pPr>
        <w:spacing w:after="0" w:line="240" w:lineRule="auto"/>
        <w:ind w:leftChars="203" w:left="447"/>
        <w:jc w:val="both"/>
        <w:rPr>
          <w:rFonts w:ascii="Times New Roman" w:hAnsi="Times New Roman"/>
          <w:color w:val="auto"/>
          <w:sz w:val="20"/>
          <w:szCs w:val="20"/>
          <w:lang w:val="it-IT"/>
        </w:rPr>
      </w:pPr>
      <w:r w:rsidRPr="00A8227E">
        <w:rPr>
          <w:rFonts w:ascii="Times New Roman" w:hAnsi="Times New Roman"/>
          <w:b/>
          <w:color w:val="auto"/>
          <w:sz w:val="20"/>
          <w:szCs w:val="20"/>
          <w:lang w:val="it-IT"/>
        </w:rPr>
        <w:t>(INT. ACT.)</w:t>
      </w:r>
      <w:r w:rsidRPr="00A8227E">
        <w:rPr>
          <w:rFonts w:ascii="Times New Roman" w:hAnsi="Times New Roman"/>
          <w:color w:val="auto"/>
          <w:sz w:val="20"/>
          <w:szCs w:val="20"/>
          <w:lang w:val="it-IT"/>
        </w:rPr>
        <w:t xml:space="preserve"> (Edison 2013)</w:t>
      </w:r>
    </w:p>
    <w:p w14:paraId="6066C7DA" w14:textId="77777777" w:rsidR="00A8227E" w:rsidRPr="00640A8F" w:rsidRDefault="00A8227E" w:rsidP="00A8227E">
      <w:pPr>
        <w:spacing w:after="0" w:line="240" w:lineRule="auto"/>
        <w:ind w:leftChars="202" w:left="444"/>
        <w:jc w:val="both"/>
        <w:rPr>
          <w:rFonts w:ascii="Times New Roman" w:hAnsi="Times New Roman"/>
          <w:color w:val="auto"/>
          <w:sz w:val="20"/>
          <w:szCs w:val="20"/>
          <w:vertAlign w:val="superscript"/>
        </w:rPr>
      </w:pPr>
      <w:r w:rsidRPr="00A8227E">
        <w:rPr>
          <w:rFonts w:ascii="Times New Roman" w:hAnsi="Times New Roman"/>
          <w:color w:val="auto"/>
          <w:sz w:val="20"/>
          <w:szCs w:val="20"/>
          <w:lang w:val="it-IT"/>
        </w:rPr>
        <w:t xml:space="preserve">(CN2) </w:t>
      </w:r>
      <w:r w:rsidRPr="00640A8F">
        <w:rPr>
          <w:rFonts w:ascii="Times New Roman" w:hAnsi="Times New Roman"/>
          <w:color w:val="auto"/>
          <w:sz w:val="20"/>
          <w:szCs w:val="20"/>
        </w:rPr>
        <w:t>本行在董事会的直接指导下</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构建了覆盖全行的社会责任组织管理体系</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即在总行高管层下设社会责任管理委员会</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对全行社会责任工作进行统一规划与部署</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在分行建立社会责任工作执行委员会</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推动各项工作落地实施。</w:t>
      </w:r>
      <w:r w:rsidRPr="00640A8F">
        <w:rPr>
          <w:rFonts w:ascii="Times New Roman" w:hAnsi="Times New Roman"/>
          <w:b/>
          <w:color w:val="auto"/>
          <w:sz w:val="20"/>
          <w:szCs w:val="20"/>
        </w:rPr>
        <w:t>（SMP）</w:t>
      </w:r>
      <w:r w:rsidRPr="00640A8F">
        <w:rPr>
          <w:rFonts w:ascii="Times New Roman" w:hAnsi="Times New Roman"/>
          <w:color w:val="auto"/>
          <w:sz w:val="20"/>
          <w:szCs w:val="20"/>
        </w:rPr>
        <w:t xml:space="preserve"> (农行 2013) [(CN2-Translation by ABC) Under the direct guidance of the Board of Directors, the senior management of the head office has under it the Social Responsibility Management Committee, which undertakes unified planning and arrangement of the social responsibility endeavors of the head office. At the level of branches, the Executive Committee of Social Responsibility is set up to promote the fulfillment of various risks. The Corporate Culture Department of the head office is the department in charge of social responsibility with the assistance of the commissioners in the other departments of the head offices and the branches.</w:t>
      </w:r>
      <w:r w:rsidRPr="00640A8F">
        <w:rPr>
          <w:rFonts w:ascii="Times New Roman" w:hAnsi="Times New Roman"/>
          <w:b/>
          <w:color w:val="auto"/>
          <w:sz w:val="20"/>
          <w:szCs w:val="20"/>
        </w:rPr>
        <w:t xml:space="preserve"> (SMP)</w:t>
      </w:r>
      <w:r w:rsidRPr="00640A8F">
        <w:rPr>
          <w:rFonts w:ascii="Times New Roman" w:hAnsi="Times New Roman"/>
          <w:color w:val="auto"/>
          <w:sz w:val="20"/>
          <w:szCs w:val="20"/>
        </w:rPr>
        <w:t xml:space="preserve"> (ABC 2013)]</w:t>
      </w:r>
    </w:p>
    <w:p w14:paraId="620DD727" w14:textId="77777777" w:rsidR="00A8227E" w:rsidRPr="00640A8F" w:rsidRDefault="00A8227E" w:rsidP="00A8227E">
      <w:pPr>
        <w:spacing w:after="0" w:line="240" w:lineRule="auto"/>
        <w:ind w:leftChars="202" w:left="444"/>
        <w:jc w:val="both"/>
        <w:rPr>
          <w:rFonts w:ascii="Times New Roman" w:hAnsi="Times New Roman"/>
          <w:color w:val="auto"/>
          <w:sz w:val="20"/>
          <w:szCs w:val="20"/>
        </w:rPr>
      </w:pPr>
      <w:r w:rsidRPr="00640A8F">
        <w:rPr>
          <w:rFonts w:ascii="Times New Roman" w:hAnsi="Times New Roman"/>
          <w:color w:val="auto"/>
          <w:sz w:val="20"/>
          <w:szCs w:val="20"/>
        </w:rPr>
        <w:t>(EN2) The group people committee, chaired by the group chief executive, has overall responsibility for key policy decisions relating to employees.</w:t>
      </w:r>
      <w:r w:rsidRPr="00640A8F">
        <w:rPr>
          <w:rFonts w:ascii="Times New Roman" w:hAnsi="Times New Roman"/>
          <w:b/>
          <w:color w:val="auto"/>
          <w:sz w:val="20"/>
          <w:szCs w:val="20"/>
        </w:rPr>
        <w:t xml:space="preserve"> (INT. ACT.) </w:t>
      </w:r>
      <w:r w:rsidRPr="00640A8F">
        <w:rPr>
          <w:rFonts w:ascii="Times New Roman" w:hAnsi="Times New Roman"/>
          <w:color w:val="auto"/>
          <w:sz w:val="20"/>
          <w:szCs w:val="20"/>
        </w:rPr>
        <w:t xml:space="preserve">The committee discussed longer-term people priorities, reward, progress in our diversity and inclusion programme, recruitment priorities (including graduate recruitment), and improvements to our learning and development programmes in 2013. The committee also monitors key people metrics and progress made. </w:t>
      </w:r>
      <w:r w:rsidRPr="00640A8F">
        <w:rPr>
          <w:rFonts w:ascii="Times New Roman" w:hAnsi="Times New Roman"/>
          <w:b/>
          <w:color w:val="auto"/>
          <w:sz w:val="20"/>
          <w:szCs w:val="20"/>
        </w:rPr>
        <w:t>(SMP)</w:t>
      </w:r>
      <w:r w:rsidRPr="00640A8F">
        <w:rPr>
          <w:rFonts w:ascii="Times New Roman" w:hAnsi="Times New Roman"/>
          <w:color w:val="auto"/>
          <w:sz w:val="20"/>
          <w:szCs w:val="20"/>
        </w:rPr>
        <w:t xml:space="preserve"> (BP 2013)</w:t>
      </w:r>
    </w:p>
    <w:p w14:paraId="4803CEA8" w14:textId="77777777" w:rsidR="00A8227E" w:rsidRPr="00640A8F" w:rsidRDefault="00A8227E" w:rsidP="00A8227E">
      <w:pPr>
        <w:spacing w:after="0" w:line="240" w:lineRule="auto"/>
        <w:jc w:val="both"/>
        <w:rPr>
          <w:rFonts w:ascii="Times New Roman" w:hAnsi="Times New Roman"/>
          <w:color w:val="auto"/>
          <w:sz w:val="20"/>
          <w:szCs w:val="20"/>
        </w:rPr>
      </w:pPr>
    </w:p>
    <w:p w14:paraId="551BD48D"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As shown in Table 9.5, the Italian CSR reports are characterized by higher extensiveness of the move comparing compared to the Chinese and English CSR reports.</w:t>
      </w:r>
    </w:p>
    <w:p w14:paraId="27B6170A" w14:textId="77777777" w:rsidR="00A8227E" w:rsidRPr="00640A8F" w:rsidRDefault="00A8227E" w:rsidP="00A8227E">
      <w:pPr>
        <w:spacing w:after="0" w:line="240" w:lineRule="auto"/>
        <w:jc w:val="both"/>
        <w:rPr>
          <w:rFonts w:ascii="Times New Roman" w:hAnsi="Times New Roman"/>
          <w:color w:val="auto"/>
          <w:sz w:val="20"/>
          <w:szCs w:val="20"/>
        </w:rPr>
      </w:pPr>
    </w:p>
    <w:tbl>
      <w:tblPr>
        <w:tblW w:w="0" w:type="auto"/>
        <w:tblInd w:w="754" w:type="dxa"/>
        <w:tblLook w:val="04A0" w:firstRow="1" w:lastRow="0" w:firstColumn="1" w:lastColumn="0" w:noHBand="0" w:noVBand="1"/>
      </w:tblPr>
      <w:tblGrid>
        <w:gridCol w:w="2868"/>
        <w:gridCol w:w="1219"/>
        <w:gridCol w:w="1353"/>
        <w:gridCol w:w="1329"/>
      </w:tblGrid>
      <w:tr w:rsidR="00A8227E" w:rsidRPr="00640A8F" w14:paraId="34DC78E1" w14:textId="77777777" w:rsidTr="00C0667F">
        <w:trPr>
          <w:trHeight w:val="709"/>
        </w:trPr>
        <w:tc>
          <w:tcPr>
            <w:tcW w:w="0" w:type="auto"/>
            <w:hideMark/>
          </w:tcPr>
          <w:p w14:paraId="0F9EB11A"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Moves in ‘Self-presentation’</w:t>
            </w:r>
          </w:p>
        </w:tc>
        <w:tc>
          <w:tcPr>
            <w:tcW w:w="0" w:type="auto"/>
            <w:noWrap/>
            <w:hideMark/>
          </w:tcPr>
          <w:p w14:paraId="55FCFD73"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CSR-Ita-T</w:t>
            </w:r>
          </w:p>
        </w:tc>
        <w:tc>
          <w:tcPr>
            <w:tcW w:w="0" w:type="auto"/>
            <w:noWrap/>
            <w:hideMark/>
          </w:tcPr>
          <w:p w14:paraId="6593F7CC"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CSR-Chn-T</w:t>
            </w:r>
          </w:p>
        </w:tc>
        <w:tc>
          <w:tcPr>
            <w:tcW w:w="0" w:type="auto"/>
            <w:hideMark/>
          </w:tcPr>
          <w:p w14:paraId="789630D6"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CSR-Eng-T</w:t>
            </w:r>
          </w:p>
        </w:tc>
      </w:tr>
      <w:tr w:rsidR="00A8227E" w:rsidRPr="00640A8F" w14:paraId="5656091A" w14:textId="77777777" w:rsidTr="00C0667F">
        <w:trPr>
          <w:trHeight w:val="253"/>
        </w:trPr>
        <w:tc>
          <w:tcPr>
            <w:tcW w:w="0" w:type="auto"/>
            <w:hideMark/>
          </w:tcPr>
          <w:p w14:paraId="09162263"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 Corp. govern.</w:t>
            </w:r>
          </w:p>
        </w:tc>
        <w:tc>
          <w:tcPr>
            <w:tcW w:w="0" w:type="auto"/>
            <w:hideMark/>
          </w:tcPr>
          <w:p w14:paraId="3131F0DB"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8.6%</w:t>
            </w:r>
          </w:p>
        </w:tc>
        <w:tc>
          <w:tcPr>
            <w:tcW w:w="0" w:type="auto"/>
            <w:hideMark/>
          </w:tcPr>
          <w:p w14:paraId="63F1C092"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2.9%</w:t>
            </w:r>
          </w:p>
        </w:tc>
        <w:tc>
          <w:tcPr>
            <w:tcW w:w="0" w:type="auto"/>
            <w:hideMark/>
          </w:tcPr>
          <w:p w14:paraId="4C759806"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2.3%</w:t>
            </w:r>
          </w:p>
        </w:tc>
      </w:tr>
    </w:tbl>
    <w:p w14:paraId="3DA80C01"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r>
      <w:bookmarkStart w:id="14" w:name="_Hlk506731464"/>
      <w:r w:rsidRPr="00640A8F">
        <w:rPr>
          <w:rFonts w:ascii="Times New Roman" w:hAnsi="Times New Roman"/>
          <w:b/>
          <w:color w:val="auto"/>
          <w:sz w:val="20"/>
          <w:szCs w:val="20"/>
        </w:rPr>
        <w:t>Table 9.5</w:t>
      </w:r>
      <w:r w:rsidRPr="00640A8F">
        <w:rPr>
          <w:rFonts w:ascii="Times New Roman" w:hAnsi="Times New Roman"/>
          <w:color w:val="auto"/>
          <w:sz w:val="20"/>
          <w:szCs w:val="20"/>
        </w:rPr>
        <w:t>: “Presenting corporate governance” in SP (CSR-Ita-T/ CSR-Chn-T/ CSR-Eng-T)</w:t>
      </w:r>
    </w:p>
    <w:p w14:paraId="72E148DE" w14:textId="77777777" w:rsidR="00A8227E" w:rsidRPr="00640A8F" w:rsidRDefault="00A8227E" w:rsidP="00A8227E">
      <w:pPr>
        <w:spacing w:after="0" w:line="240" w:lineRule="auto"/>
        <w:jc w:val="both"/>
        <w:rPr>
          <w:rFonts w:ascii="Times New Roman" w:hAnsi="Times New Roman"/>
          <w:color w:val="auto"/>
          <w:sz w:val="20"/>
          <w:szCs w:val="20"/>
        </w:rPr>
      </w:pPr>
    </w:p>
    <w:bookmarkEnd w:id="14"/>
    <w:p w14:paraId="47B569EE"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4.6.3 “Stating values and beliefs”</w:t>
      </w:r>
    </w:p>
    <w:p w14:paraId="15AD9DE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General statements about the values and beliefs constitute the basis of a company’s missions, behaviorbehaviour and motivation (e.g. “responsibility”, “truthfulness”, “charity”, “transparency”, “creativity”, “consistency”, etc.). The main steps of the move include:</w:t>
      </w:r>
    </w:p>
    <w:p w14:paraId="408FD44D" w14:textId="77777777" w:rsidR="00A8227E" w:rsidRPr="00640A8F" w:rsidRDefault="00A8227E" w:rsidP="00A8227E">
      <w:pPr>
        <w:spacing w:after="0" w:line="240" w:lineRule="auto"/>
        <w:jc w:val="both"/>
        <w:rPr>
          <w:rFonts w:ascii="Times New Roman" w:hAnsi="Times New Roman"/>
          <w:color w:val="auto"/>
          <w:sz w:val="20"/>
          <w:szCs w:val="20"/>
        </w:rPr>
      </w:pPr>
    </w:p>
    <w:p w14:paraId="68D073F3" w14:textId="77777777" w:rsidR="00A8227E" w:rsidRPr="00640A8F" w:rsidRDefault="00A8227E" w:rsidP="00A8227E">
      <w:pPr>
        <w:pStyle w:val="Paragrafoelenco"/>
        <w:widowControl w:val="0"/>
        <w:numPr>
          <w:ilvl w:val="0"/>
          <w:numId w:val="1"/>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Stating stating values and beliefs (VALUE),</w:t>
      </w:r>
    </w:p>
    <w:p w14:paraId="1FFD1349" w14:textId="77777777" w:rsidR="00A8227E" w:rsidRPr="00640A8F" w:rsidRDefault="00A8227E" w:rsidP="00A8227E">
      <w:pPr>
        <w:pStyle w:val="Paragrafoelenco"/>
        <w:widowControl w:val="0"/>
        <w:numPr>
          <w:ilvl w:val="0"/>
          <w:numId w:val="1"/>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Communicating communicating strategies/methods/practices (SMP) and</w:t>
      </w:r>
    </w:p>
    <w:p w14:paraId="4AD9A179" w14:textId="77777777" w:rsidR="00A8227E" w:rsidRPr="00640A8F" w:rsidRDefault="00A8227E" w:rsidP="00A8227E">
      <w:pPr>
        <w:pStyle w:val="Paragrafoelenco"/>
        <w:widowControl w:val="0"/>
        <w:numPr>
          <w:ilvl w:val="0"/>
          <w:numId w:val="1"/>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Stating stating missions (MISSION).</w:t>
      </w:r>
    </w:p>
    <w:p w14:paraId="1A148383" w14:textId="77777777" w:rsidR="00A8227E" w:rsidRPr="00640A8F" w:rsidRDefault="00A8227E" w:rsidP="00A8227E">
      <w:pPr>
        <w:spacing w:after="0" w:line="240" w:lineRule="auto"/>
        <w:jc w:val="both"/>
        <w:rPr>
          <w:rFonts w:ascii="Times New Roman" w:hAnsi="Times New Roman"/>
          <w:color w:val="auto"/>
          <w:sz w:val="20"/>
          <w:szCs w:val="20"/>
        </w:rPr>
      </w:pPr>
    </w:p>
    <w:p w14:paraId="2006094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following examples illustrate the steps used in the move:</w:t>
      </w:r>
    </w:p>
    <w:p w14:paraId="229F276A" w14:textId="77777777" w:rsidR="00A8227E" w:rsidRPr="00640A8F" w:rsidRDefault="00A8227E" w:rsidP="00A8227E">
      <w:pPr>
        <w:spacing w:after="0" w:line="240" w:lineRule="auto"/>
        <w:ind w:leftChars="202" w:left="444"/>
        <w:jc w:val="both"/>
        <w:rPr>
          <w:rFonts w:ascii="Times New Roman" w:hAnsi="Times New Roman"/>
          <w:color w:val="auto"/>
          <w:sz w:val="20"/>
          <w:szCs w:val="20"/>
        </w:rPr>
      </w:pPr>
    </w:p>
    <w:p w14:paraId="4EB7C494" w14:textId="77777777" w:rsidR="00A8227E" w:rsidRPr="00A8227E" w:rsidRDefault="00A8227E" w:rsidP="00A8227E">
      <w:pPr>
        <w:spacing w:after="0" w:line="240" w:lineRule="auto"/>
        <w:ind w:leftChars="202" w:left="444"/>
        <w:jc w:val="both"/>
        <w:rPr>
          <w:rFonts w:ascii="Times New Roman" w:hAnsi="Times New Roman"/>
          <w:color w:val="auto"/>
          <w:sz w:val="20"/>
          <w:szCs w:val="20"/>
          <w:lang w:val="it-IT"/>
        </w:rPr>
      </w:pPr>
      <w:r w:rsidRPr="00A8227E">
        <w:rPr>
          <w:rFonts w:ascii="Times New Roman" w:hAnsi="Times New Roman"/>
          <w:color w:val="auto"/>
          <w:sz w:val="20"/>
          <w:szCs w:val="20"/>
          <w:lang w:val="it-IT"/>
        </w:rPr>
        <w:t xml:space="preserve">(IT3) Essere una banca vincente nell’attuale contesto significa per UniCredit affrontare le questioni economiche, sociali e ambientali sia nella definizione della strategia sia nell’operatività quotidiana. </w:t>
      </w:r>
      <w:r w:rsidRPr="00A8227E">
        <w:rPr>
          <w:rFonts w:ascii="Times New Roman" w:hAnsi="Times New Roman"/>
          <w:b/>
          <w:color w:val="auto"/>
          <w:sz w:val="20"/>
          <w:szCs w:val="20"/>
          <w:lang w:val="it-IT"/>
        </w:rPr>
        <w:t xml:space="preserve">(Value) </w:t>
      </w:r>
      <w:r w:rsidRPr="00A8227E">
        <w:rPr>
          <w:rFonts w:ascii="Times New Roman" w:hAnsi="Times New Roman"/>
          <w:color w:val="auto"/>
          <w:sz w:val="20"/>
          <w:szCs w:val="20"/>
          <w:lang w:val="it-IT"/>
        </w:rPr>
        <w:t xml:space="preserve">(UniCredit 2013) </w:t>
      </w:r>
    </w:p>
    <w:p w14:paraId="7AFD4F02" w14:textId="77777777" w:rsidR="00A8227E" w:rsidRPr="00640A8F" w:rsidRDefault="00A8227E" w:rsidP="00A8227E">
      <w:pPr>
        <w:spacing w:after="0" w:line="240" w:lineRule="auto"/>
        <w:ind w:leftChars="202" w:left="444"/>
        <w:jc w:val="both"/>
        <w:rPr>
          <w:rFonts w:ascii="Times New Roman" w:hAnsi="Times New Roman"/>
          <w:color w:val="auto"/>
          <w:sz w:val="20"/>
          <w:szCs w:val="20"/>
        </w:rPr>
      </w:pPr>
      <w:r w:rsidRPr="00A8227E">
        <w:rPr>
          <w:rFonts w:ascii="Times New Roman" w:hAnsi="Times New Roman"/>
          <w:color w:val="auto"/>
          <w:sz w:val="20"/>
          <w:szCs w:val="20"/>
          <w:lang w:val="it-IT"/>
        </w:rPr>
        <w:t xml:space="preserve">(CN3) </w:t>
      </w:r>
      <w:r w:rsidRPr="00640A8F">
        <w:rPr>
          <w:rFonts w:ascii="Times New Roman" w:hAnsi="Times New Roman"/>
          <w:color w:val="auto"/>
          <w:sz w:val="20"/>
          <w:szCs w:val="20"/>
        </w:rPr>
        <w:t>本行围绕</w:t>
      </w:r>
      <w:r w:rsidRPr="00A8227E">
        <w:rPr>
          <w:rFonts w:ascii="Times New Roman" w:hAnsi="Times New Roman"/>
          <w:color w:val="auto"/>
          <w:sz w:val="20"/>
          <w:szCs w:val="20"/>
          <w:lang w:val="it-IT"/>
        </w:rPr>
        <w:t>“</w:t>
      </w:r>
      <w:r w:rsidRPr="00640A8F">
        <w:rPr>
          <w:rFonts w:ascii="Times New Roman" w:hAnsi="Times New Roman"/>
          <w:color w:val="auto"/>
          <w:sz w:val="20"/>
          <w:szCs w:val="20"/>
        </w:rPr>
        <w:t>面向三农</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服务城乡</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回报股东</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成就员工</w:t>
      </w:r>
      <w:r w:rsidRPr="00A8227E">
        <w:rPr>
          <w:rFonts w:ascii="Times New Roman" w:hAnsi="Times New Roman"/>
          <w:color w:val="auto"/>
          <w:sz w:val="20"/>
          <w:szCs w:val="20"/>
          <w:lang w:val="it-IT"/>
        </w:rPr>
        <w:t>”</w:t>
      </w:r>
      <w:r w:rsidRPr="00640A8F">
        <w:rPr>
          <w:rFonts w:ascii="Times New Roman" w:hAnsi="Times New Roman"/>
          <w:color w:val="auto"/>
          <w:sz w:val="20"/>
          <w:szCs w:val="20"/>
        </w:rPr>
        <w:t>的使命</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秉承</w:t>
      </w:r>
      <w:r w:rsidRPr="00A8227E">
        <w:rPr>
          <w:rFonts w:ascii="Times New Roman" w:hAnsi="Times New Roman"/>
          <w:color w:val="auto"/>
          <w:sz w:val="20"/>
          <w:szCs w:val="20"/>
          <w:lang w:val="it-IT"/>
        </w:rPr>
        <w:t>“</w:t>
      </w:r>
      <w:r w:rsidRPr="00640A8F">
        <w:rPr>
          <w:rFonts w:ascii="Times New Roman" w:hAnsi="Times New Roman"/>
          <w:color w:val="auto"/>
          <w:sz w:val="20"/>
          <w:szCs w:val="20"/>
        </w:rPr>
        <w:t>责任为先</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兼善天下</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勇于担当</w:t>
      </w:r>
      <w:r w:rsidRPr="00A8227E">
        <w:rPr>
          <w:rFonts w:ascii="Times New Roman" w:hAnsi="Times New Roman" w:hint="eastAsia"/>
          <w:color w:val="auto"/>
          <w:sz w:val="20"/>
          <w:szCs w:val="20"/>
          <w:lang w:val="it-IT"/>
        </w:rPr>
        <w:t>，</w:t>
      </w:r>
      <w:r w:rsidRPr="00640A8F">
        <w:rPr>
          <w:rFonts w:ascii="Times New Roman" w:hAnsi="Times New Roman"/>
          <w:color w:val="auto"/>
          <w:sz w:val="20"/>
          <w:szCs w:val="20"/>
        </w:rPr>
        <w:t>造福社会</w:t>
      </w:r>
      <w:r w:rsidRPr="00A8227E">
        <w:rPr>
          <w:rFonts w:ascii="Times New Roman" w:hAnsi="Times New Roman"/>
          <w:color w:val="auto"/>
          <w:sz w:val="20"/>
          <w:szCs w:val="20"/>
          <w:lang w:val="it-IT"/>
        </w:rPr>
        <w:t>”</w:t>
      </w:r>
      <w:r w:rsidRPr="00640A8F">
        <w:rPr>
          <w:rFonts w:ascii="Times New Roman" w:hAnsi="Times New Roman"/>
          <w:color w:val="auto"/>
          <w:sz w:val="20"/>
          <w:szCs w:val="20"/>
        </w:rPr>
        <w:t>的责任理念</w:t>
      </w:r>
      <w:r w:rsidRPr="00A8227E">
        <w:rPr>
          <w:rFonts w:ascii="Times New Roman" w:hAnsi="Times New Roman" w:hint="eastAsia"/>
          <w:color w:val="auto"/>
          <w:sz w:val="20"/>
          <w:szCs w:val="20"/>
          <w:lang w:val="it-IT"/>
        </w:rPr>
        <w:t>，</w:t>
      </w:r>
      <w:r w:rsidRPr="00A8227E">
        <w:rPr>
          <w:rFonts w:ascii="Times New Roman" w:hAnsi="Times New Roman"/>
          <w:b/>
          <w:color w:val="auto"/>
          <w:sz w:val="20"/>
          <w:szCs w:val="20"/>
          <w:lang w:val="it-IT"/>
        </w:rPr>
        <w:t xml:space="preserve">(VALUE) </w:t>
      </w:r>
      <w:r w:rsidRPr="00640A8F">
        <w:rPr>
          <w:rFonts w:ascii="Times New Roman" w:hAnsi="Times New Roman"/>
          <w:color w:val="auto"/>
          <w:sz w:val="20"/>
          <w:szCs w:val="20"/>
        </w:rPr>
        <w:t>以</w:t>
      </w:r>
      <w:r w:rsidRPr="00A8227E">
        <w:rPr>
          <w:rFonts w:ascii="Times New Roman" w:hAnsi="Times New Roman"/>
          <w:color w:val="auto"/>
          <w:sz w:val="20"/>
          <w:szCs w:val="20"/>
          <w:lang w:val="it-IT"/>
        </w:rPr>
        <w:t>“</w:t>
      </w:r>
      <w:r w:rsidRPr="00640A8F">
        <w:rPr>
          <w:rFonts w:ascii="Times New Roman" w:hAnsi="Times New Roman"/>
          <w:color w:val="auto"/>
          <w:sz w:val="20"/>
          <w:szCs w:val="20"/>
        </w:rPr>
        <w:t>做一家负责任有担当的银行</w:t>
      </w:r>
      <w:r w:rsidRPr="00A8227E">
        <w:rPr>
          <w:rFonts w:ascii="Times New Roman" w:hAnsi="Times New Roman"/>
          <w:color w:val="auto"/>
          <w:sz w:val="20"/>
          <w:szCs w:val="20"/>
          <w:lang w:val="it-IT"/>
        </w:rPr>
        <w:t>”</w:t>
      </w:r>
      <w:r w:rsidRPr="00640A8F">
        <w:rPr>
          <w:rFonts w:ascii="Times New Roman" w:hAnsi="Times New Roman"/>
          <w:color w:val="auto"/>
          <w:sz w:val="20"/>
          <w:szCs w:val="20"/>
        </w:rPr>
        <w:t>为社会责任目标。</w:t>
      </w:r>
      <w:r w:rsidRPr="00640A8F">
        <w:rPr>
          <w:rFonts w:ascii="Times New Roman" w:hAnsi="Times New Roman"/>
          <w:b/>
          <w:color w:val="auto"/>
          <w:sz w:val="20"/>
          <w:szCs w:val="20"/>
        </w:rPr>
        <w:t>(MISSION)</w:t>
      </w:r>
      <w:r w:rsidRPr="00640A8F">
        <w:rPr>
          <w:rFonts w:ascii="Times New Roman" w:hAnsi="Times New Roman"/>
          <w:color w:val="auto"/>
          <w:sz w:val="20"/>
          <w:szCs w:val="20"/>
        </w:rPr>
        <w:t xml:space="preserve"> [(CN3-Translation by ABC) The bank implements the responsibility philosophy of “placing responsibility above everything to benefit the general public; determinedly assuming responsibility to benefit the whole society”; </w:t>
      </w:r>
      <w:r w:rsidRPr="00640A8F">
        <w:rPr>
          <w:rFonts w:ascii="Times New Roman" w:hAnsi="Times New Roman"/>
          <w:b/>
          <w:color w:val="auto"/>
          <w:sz w:val="20"/>
          <w:szCs w:val="20"/>
        </w:rPr>
        <w:t xml:space="preserve">(VALUE) </w:t>
      </w:r>
      <w:r w:rsidRPr="00640A8F">
        <w:rPr>
          <w:rFonts w:ascii="Times New Roman" w:hAnsi="Times New Roman"/>
          <w:color w:val="auto"/>
          <w:sz w:val="20"/>
          <w:szCs w:val="20"/>
        </w:rPr>
        <w:t xml:space="preserve">regards “becoming a bank with a high sense of responsibility” as the goal of its social responsibilitresponsibility […]. </w:t>
      </w:r>
      <w:r w:rsidRPr="00640A8F">
        <w:rPr>
          <w:rFonts w:ascii="Times New Roman" w:hAnsi="Times New Roman"/>
          <w:b/>
          <w:color w:val="auto"/>
          <w:sz w:val="20"/>
          <w:szCs w:val="20"/>
        </w:rPr>
        <w:t>(MISSION)</w:t>
      </w:r>
      <w:r w:rsidRPr="00640A8F">
        <w:rPr>
          <w:rFonts w:ascii="Times New Roman" w:hAnsi="Times New Roman"/>
          <w:color w:val="auto"/>
          <w:sz w:val="20"/>
          <w:szCs w:val="20"/>
        </w:rPr>
        <w:t xml:space="preserve"> (ABC 2013)]</w:t>
      </w:r>
    </w:p>
    <w:p w14:paraId="62CCF97C" w14:textId="77777777" w:rsidR="00A8227E" w:rsidRPr="00640A8F" w:rsidRDefault="00A8227E" w:rsidP="00A8227E">
      <w:pPr>
        <w:spacing w:after="0" w:line="240" w:lineRule="auto"/>
        <w:ind w:leftChars="202" w:left="444"/>
        <w:jc w:val="both"/>
        <w:rPr>
          <w:rFonts w:ascii="Times New Roman" w:hAnsi="Times New Roman"/>
          <w:color w:val="auto"/>
          <w:sz w:val="20"/>
          <w:szCs w:val="20"/>
        </w:rPr>
      </w:pPr>
      <w:r w:rsidRPr="00640A8F">
        <w:rPr>
          <w:rFonts w:ascii="Times New Roman" w:hAnsi="Times New Roman"/>
          <w:color w:val="auto"/>
          <w:sz w:val="20"/>
          <w:szCs w:val="20"/>
        </w:rPr>
        <w:t xml:space="preserve">(EN3) We require high standards of behaviour from all our employees and expect them to act with courageous integrity in the execution of their duties at every level. </w:t>
      </w:r>
      <w:r w:rsidRPr="00640A8F">
        <w:rPr>
          <w:rFonts w:ascii="Times New Roman" w:hAnsi="Times New Roman"/>
          <w:b/>
          <w:color w:val="auto"/>
          <w:sz w:val="20"/>
          <w:szCs w:val="20"/>
        </w:rPr>
        <w:t>(Value)</w:t>
      </w:r>
      <w:r w:rsidRPr="00640A8F">
        <w:rPr>
          <w:rFonts w:ascii="Times New Roman" w:hAnsi="Times New Roman"/>
          <w:color w:val="auto"/>
          <w:sz w:val="20"/>
          <w:szCs w:val="20"/>
        </w:rPr>
        <w:t xml:space="preserve"> HSBC's values of being open, dependable and connected form part of appraisals for every employee, including the most senior managers. </w:t>
      </w:r>
      <w:r w:rsidRPr="00640A8F">
        <w:rPr>
          <w:rFonts w:ascii="Times New Roman" w:hAnsi="Times New Roman"/>
          <w:b/>
          <w:color w:val="auto"/>
          <w:sz w:val="20"/>
          <w:szCs w:val="20"/>
        </w:rPr>
        <w:t>(SMP)</w:t>
      </w:r>
      <w:r w:rsidRPr="00640A8F">
        <w:rPr>
          <w:rFonts w:ascii="Times New Roman" w:hAnsi="Times New Roman"/>
          <w:color w:val="auto"/>
          <w:sz w:val="20"/>
          <w:szCs w:val="20"/>
        </w:rPr>
        <w:t xml:space="preserve"> (HSBC 2013) </w:t>
      </w:r>
    </w:p>
    <w:p w14:paraId="6C8BEA54" w14:textId="77777777" w:rsidR="00A8227E" w:rsidRPr="00640A8F" w:rsidRDefault="00A8227E" w:rsidP="00A8227E">
      <w:pPr>
        <w:spacing w:after="0" w:line="240" w:lineRule="auto"/>
        <w:jc w:val="both"/>
        <w:rPr>
          <w:rFonts w:ascii="Times New Roman" w:hAnsi="Times New Roman"/>
          <w:color w:val="auto"/>
          <w:sz w:val="20"/>
          <w:szCs w:val="20"/>
        </w:rPr>
      </w:pPr>
    </w:p>
    <w:p w14:paraId="4EA98204"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Chinese CSR reports are characterized by higher extensiveness of the move comparing to the Italian and English subcorpora (see Table 9.6). </w:t>
      </w:r>
    </w:p>
    <w:p w14:paraId="57EDA3B3" w14:textId="77777777" w:rsidR="00A8227E" w:rsidRPr="00640A8F" w:rsidRDefault="00A8227E" w:rsidP="00A8227E">
      <w:pPr>
        <w:spacing w:after="0" w:line="240" w:lineRule="auto"/>
        <w:jc w:val="both"/>
        <w:rPr>
          <w:rFonts w:ascii="Times New Roman" w:hAnsi="Times New Roman"/>
          <w:color w:val="auto"/>
          <w:sz w:val="20"/>
          <w:szCs w:val="20"/>
        </w:rPr>
      </w:pPr>
    </w:p>
    <w:tbl>
      <w:tblPr>
        <w:tblW w:w="0" w:type="auto"/>
        <w:tblInd w:w="754" w:type="dxa"/>
        <w:tblLook w:val="04A0" w:firstRow="1" w:lastRow="0" w:firstColumn="1" w:lastColumn="0" w:noHBand="0" w:noVBand="1"/>
      </w:tblPr>
      <w:tblGrid>
        <w:gridCol w:w="2868"/>
        <w:gridCol w:w="1219"/>
        <w:gridCol w:w="1353"/>
        <w:gridCol w:w="1329"/>
      </w:tblGrid>
      <w:tr w:rsidR="00A8227E" w:rsidRPr="00640A8F" w14:paraId="7081037C" w14:textId="77777777" w:rsidTr="00C0667F">
        <w:trPr>
          <w:trHeight w:val="709"/>
        </w:trPr>
        <w:tc>
          <w:tcPr>
            <w:tcW w:w="0" w:type="auto"/>
            <w:hideMark/>
          </w:tcPr>
          <w:p w14:paraId="52ADF879"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Moves in ‘Self-presentation’</w:t>
            </w:r>
          </w:p>
        </w:tc>
        <w:tc>
          <w:tcPr>
            <w:tcW w:w="0" w:type="auto"/>
            <w:noWrap/>
            <w:hideMark/>
          </w:tcPr>
          <w:p w14:paraId="772209C1"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CSR-Ita-T</w:t>
            </w:r>
          </w:p>
        </w:tc>
        <w:tc>
          <w:tcPr>
            <w:tcW w:w="0" w:type="auto"/>
            <w:noWrap/>
            <w:hideMark/>
          </w:tcPr>
          <w:p w14:paraId="6FDD1C1C"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CSR-Chn-T</w:t>
            </w:r>
          </w:p>
        </w:tc>
        <w:tc>
          <w:tcPr>
            <w:tcW w:w="0" w:type="auto"/>
            <w:hideMark/>
          </w:tcPr>
          <w:p w14:paraId="108C46B3"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CSR-Eng-T</w:t>
            </w:r>
          </w:p>
        </w:tc>
      </w:tr>
      <w:tr w:rsidR="00A8227E" w:rsidRPr="00640A8F" w14:paraId="3F7DB1F1" w14:textId="77777777" w:rsidTr="00C0667F">
        <w:trPr>
          <w:trHeight w:val="314"/>
        </w:trPr>
        <w:tc>
          <w:tcPr>
            <w:tcW w:w="0" w:type="auto"/>
          </w:tcPr>
          <w:p w14:paraId="206FB0AC"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3. Values</w:t>
            </w:r>
          </w:p>
        </w:tc>
        <w:tc>
          <w:tcPr>
            <w:tcW w:w="0" w:type="auto"/>
            <w:noWrap/>
          </w:tcPr>
          <w:p w14:paraId="77D97D70"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2.02%</w:t>
            </w:r>
          </w:p>
        </w:tc>
        <w:tc>
          <w:tcPr>
            <w:tcW w:w="0" w:type="auto"/>
            <w:noWrap/>
          </w:tcPr>
          <w:p w14:paraId="6DAE3269"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5.78%</w:t>
            </w:r>
          </w:p>
        </w:tc>
        <w:tc>
          <w:tcPr>
            <w:tcW w:w="0" w:type="auto"/>
          </w:tcPr>
          <w:p w14:paraId="4ED0E8BE" w14:textId="77777777" w:rsidR="00A8227E" w:rsidRPr="00640A8F" w:rsidRDefault="00A8227E" w:rsidP="00C0667F">
            <w:pPr>
              <w:spacing w:after="0" w:line="240" w:lineRule="auto"/>
              <w:rPr>
                <w:rFonts w:ascii="Times New Roman" w:hAnsi="Times New Roman"/>
                <w:color w:val="auto"/>
              </w:rPr>
            </w:pPr>
            <w:r w:rsidRPr="00640A8F">
              <w:rPr>
                <w:rFonts w:ascii="Times New Roman" w:hAnsi="Times New Roman"/>
                <w:color w:val="auto"/>
              </w:rPr>
              <w:t>2. 59%</w:t>
            </w:r>
          </w:p>
        </w:tc>
      </w:tr>
    </w:tbl>
    <w:p w14:paraId="54203A20" w14:textId="77777777" w:rsidR="00A8227E" w:rsidRPr="00640A8F" w:rsidRDefault="00A8227E" w:rsidP="00A8227E">
      <w:pPr>
        <w:spacing w:after="0" w:line="240" w:lineRule="auto"/>
        <w:jc w:val="both"/>
        <w:rPr>
          <w:rFonts w:ascii="Times New Roman" w:hAnsi="Times New Roman"/>
          <w:color w:val="auto"/>
          <w:sz w:val="20"/>
          <w:szCs w:val="20"/>
        </w:rPr>
      </w:pPr>
      <w:bookmarkStart w:id="15" w:name="_Hlk506731494"/>
      <w:r w:rsidRPr="00640A8F">
        <w:rPr>
          <w:rFonts w:ascii="Times New Roman" w:hAnsi="Times New Roman"/>
          <w:b/>
          <w:color w:val="auto"/>
          <w:sz w:val="20"/>
          <w:szCs w:val="20"/>
        </w:rPr>
        <w:t>Table 9.6</w:t>
      </w:r>
      <w:r w:rsidRPr="00640A8F">
        <w:rPr>
          <w:rFonts w:ascii="Times New Roman" w:hAnsi="Times New Roman"/>
          <w:color w:val="auto"/>
          <w:sz w:val="20"/>
          <w:szCs w:val="20"/>
        </w:rPr>
        <w:t>: “Stating values and beliefs” in SP (CSR-Ita-T/ CSR-Chn-T/ CSR-Eng-T)</w:t>
      </w:r>
    </w:p>
    <w:bookmarkEnd w:id="15"/>
    <w:p w14:paraId="7362B3B7" w14:textId="77777777" w:rsidR="00A8227E" w:rsidRPr="00640A8F" w:rsidRDefault="00A8227E" w:rsidP="00A8227E">
      <w:pPr>
        <w:spacing w:after="0" w:line="240" w:lineRule="auto"/>
        <w:jc w:val="both"/>
        <w:rPr>
          <w:rFonts w:ascii="Times New Roman" w:hAnsi="Times New Roman"/>
          <w:color w:val="auto"/>
          <w:sz w:val="20"/>
          <w:szCs w:val="20"/>
        </w:rPr>
      </w:pPr>
    </w:p>
    <w:p w14:paraId="2C95685F" w14:textId="77777777" w:rsidR="00A8227E" w:rsidRPr="00640A8F" w:rsidRDefault="00A8227E" w:rsidP="00A8227E">
      <w:pPr>
        <w:spacing w:after="0" w:line="240" w:lineRule="auto"/>
        <w:jc w:val="both"/>
        <w:rPr>
          <w:rFonts w:ascii="Times New Roman" w:hAnsi="Times New Roman"/>
          <w:b/>
          <w:color w:val="auto"/>
          <w:sz w:val="20"/>
          <w:szCs w:val="20"/>
        </w:rPr>
      </w:pPr>
    </w:p>
    <w:p w14:paraId="7AD1C5C5" w14:textId="77777777" w:rsidR="00A8227E" w:rsidRPr="00640A8F" w:rsidRDefault="00A8227E" w:rsidP="00A8227E">
      <w:pPr>
        <w:spacing w:after="0" w:line="240" w:lineRule="auto"/>
        <w:jc w:val="both"/>
        <w:rPr>
          <w:rFonts w:ascii="Times New Roman" w:hAnsi="Times New Roman"/>
          <w:b/>
          <w:color w:val="auto"/>
          <w:sz w:val="20"/>
          <w:szCs w:val="20"/>
        </w:rPr>
      </w:pPr>
      <w:r w:rsidRPr="00640A8F">
        <w:rPr>
          <w:rFonts w:ascii="Times New Roman" w:hAnsi="Times New Roman"/>
          <w:b/>
          <w:color w:val="auto"/>
          <w:sz w:val="20"/>
          <w:szCs w:val="20"/>
        </w:rPr>
        <w:t>4.6.4 “Establishing credentials”</w:t>
      </w:r>
    </w:p>
    <w:p w14:paraId="5C9D1EC9"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This move focuses on corporate strengths, expertise, awards and ability to recognize and fulfillfulfil stakeholder needs (de</w:t>
      </w:r>
      <w:r>
        <w:rPr>
          <w:rFonts w:ascii="Times New Roman" w:hAnsi="Times New Roman"/>
          <w:color w:val="auto"/>
          <w:sz w:val="20"/>
          <w:szCs w:val="20"/>
        </w:rPr>
        <w:t xml:space="preserve"> Groot 2008). This is mainly</w:t>
      </w:r>
      <w:r w:rsidRPr="00640A8F">
        <w:rPr>
          <w:rFonts w:ascii="Times New Roman" w:hAnsi="Times New Roman"/>
          <w:color w:val="auto"/>
          <w:sz w:val="20"/>
          <w:szCs w:val="20"/>
        </w:rPr>
        <w:t xml:space="preserve"> realized mainly by the following steps: </w:t>
      </w:r>
    </w:p>
    <w:p w14:paraId="12B2E78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Assessing assessing performance (ASSESS. PF.),</w:t>
      </w:r>
    </w:p>
    <w:p w14:paraId="7469E097"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Showing showing the company’s strength (STRENGTH) and</w:t>
      </w:r>
    </w:p>
    <w:p w14:paraId="1CD9EEED"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Referring referring to external evaluation, by displaying awards or by citing voices (EXT. EVA.).</w:t>
      </w:r>
    </w:p>
    <w:p w14:paraId="6FAFCD7E" w14:textId="77777777" w:rsidR="00A8227E" w:rsidRPr="00640A8F" w:rsidRDefault="00A8227E" w:rsidP="00A8227E">
      <w:pPr>
        <w:spacing w:after="0" w:line="240" w:lineRule="auto"/>
        <w:jc w:val="both"/>
        <w:rPr>
          <w:rFonts w:ascii="Times New Roman" w:hAnsi="Times New Roman"/>
          <w:color w:val="auto"/>
          <w:sz w:val="20"/>
          <w:szCs w:val="20"/>
        </w:rPr>
      </w:pPr>
    </w:p>
    <w:p w14:paraId="466B3AFB"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use of these steps is illustrated below:</w:t>
      </w:r>
    </w:p>
    <w:p w14:paraId="1AC291B8" w14:textId="77777777" w:rsidR="00A8227E" w:rsidRPr="00640A8F" w:rsidRDefault="00A8227E" w:rsidP="00A8227E">
      <w:pPr>
        <w:spacing w:after="0" w:line="240" w:lineRule="auto"/>
        <w:ind w:leftChars="270" w:left="594"/>
        <w:jc w:val="both"/>
        <w:rPr>
          <w:rFonts w:ascii="Times New Roman" w:hAnsi="Times New Roman"/>
          <w:color w:val="auto"/>
          <w:sz w:val="20"/>
          <w:szCs w:val="20"/>
        </w:rPr>
      </w:pPr>
    </w:p>
    <w:p w14:paraId="355CEDDA" w14:textId="77777777" w:rsidR="00A8227E" w:rsidRPr="00A8227E" w:rsidRDefault="00A8227E" w:rsidP="00A8227E">
      <w:pPr>
        <w:spacing w:after="0" w:line="240" w:lineRule="auto"/>
        <w:ind w:leftChars="270" w:left="594"/>
        <w:jc w:val="both"/>
        <w:rPr>
          <w:rFonts w:ascii="Times New Roman" w:hAnsi="Times New Roman"/>
          <w:color w:val="auto"/>
          <w:sz w:val="20"/>
          <w:szCs w:val="20"/>
          <w:lang w:val="it-IT"/>
        </w:rPr>
      </w:pPr>
      <w:r w:rsidRPr="00A8227E">
        <w:rPr>
          <w:rFonts w:ascii="Times New Roman" w:hAnsi="Times New Roman"/>
          <w:color w:val="auto"/>
          <w:sz w:val="20"/>
          <w:szCs w:val="20"/>
          <w:lang w:val="it-IT"/>
        </w:rPr>
        <w:t>(IT4)</w:t>
      </w:r>
      <w:r w:rsidRPr="00A8227E">
        <w:rPr>
          <w:rFonts w:ascii="Times New Roman" w:hAnsi="Times New Roman"/>
          <w:color w:val="auto"/>
          <w:sz w:val="20"/>
          <w:szCs w:val="20"/>
          <w:lang w:val="it-IT"/>
        </w:rPr>
        <w:tab/>
        <w:t>Edison sin dalla sua fondazione ha dimostrato di essere un’impresa all’avanguardia, con un’incessante spinta al pionierismo, alla modernità, al cambiamento.</w:t>
      </w:r>
      <w:r w:rsidRPr="00A8227E">
        <w:rPr>
          <w:rFonts w:ascii="Times New Roman" w:hAnsi="Times New Roman"/>
          <w:b/>
          <w:color w:val="auto"/>
          <w:sz w:val="20"/>
          <w:szCs w:val="20"/>
          <w:lang w:val="it-IT"/>
        </w:rPr>
        <w:t xml:space="preserve"> (STRENGTH) </w:t>
      </w:r>
      <w:r w:rsidRPr="00A8227E">
        <w:rPr>
          <w:rFonts w:ascii="Times New Roman" w:hAnsi="Times New Roman"/>
          <w:color w:val="auto"/>
          <w:sz w:val="20"/>
          <w:szCs w:val="20"/>
          <w:lang w:val="it-IT"/>
        </w:rPr>
        <w:t xml:space="preserve">(Edison 2013) </w:t>
      </w:r>
    </w:p>
    <w:p w14:paraId="491D8BE7" w14:textId="77777777" w:rsidR="00A8227E" w:rsidRPr="00640A8F" w:rsidRDefault="00A8227E" w:rsidP="00A8227E">
      <w:pPr>
        <w:spacing w:after="0" w:line="240" w:lineRule="auto"/>
        <w:ind w:leftChars="270" w:left="594"/>
        <w:jc w:val="both"/>
        <w:rPr>
          <w:rFonts w:ascii="Times New Roman" w:hAnsi="Times New Roman"/>
          <w:color w:val="auto"/>
          <w:sz w:val="20"/>
          <w:szCs w:val="20"/>
        </w:rPr>
      </w:pPr>
      <w:r w:rsidRPr="00A8227E">
        <w:rPr>
          <w:rFonts w:ascii="Times New Roman" w:hAnsi="Times New Roman"/>
          <w:color w:val="auto"/>
          <w:sz w:val="20"/>
          <w:szCs w:val="20"/>
          <w:lang w:val="it-IT"/>
        </w:rPr>
        <w:t>(IT5)</w:t>
      </w:r>
      <w:r w:rsidRPr="00A8227E">
        <w:rPr>
          <w:rFonts w:ascii="Times New Roman" w:hAnsi="Times New Roman"/>
          <w:color w:val="auto"/>
          <w:sz w:val="20"/>
          <w:szCs w:val="20"/>
          <w:lang w:val="it-IT"/>
        </w:rPr>
        <w:tab/>
        <w:t>La capacità di innovare è testimoniata dall'ampio portafoglio brevettuale di eni, che ad oggi comprende oltre 9.000 brevetti a protezione di un migliaio di invenzioni.</w:t>
      </w:r>
      <w:r w:rsidRPr="00A8227E">
        <w:rPr>
          <w:rFonts w:ascii="Times New Roman" w:hAnsi="Times New Roman"/>
          <w:b/>
          <w:color w:val="auto"/>
          <w:sz w:val="20"/>
          <w:szCs w:val="20"/>
          <w:lang w:val="it-IT"/>
        </w:rPr>
        <w:t xml:space="preserve"> </w:t>
      </w:r>
      <w:r w:rsidRPr="00640A8F">
        <w:rPr>
          <w:rFonts w:ascii="Times New Roman" w:hAnsi="Times New Roman"/>
          <w:b/>
          <w:color w:val="auto"/>
          <w:sz w:val="20"/>
          <w:szCs w:val="20"/>
        </w:rPr>
        <w:t xml:space="preserve">(ASSESS PF) </w:t>
      </w:r>
      <w:r w:rsidRPr="00640A8F">
        <w:rPr>
          <w:rFonts w:ascii="Times New Roman" w:hAnsi="Times New Roman"/>
          <w:color w:val="auto"/>
          <w:sz w:val="20"/>
          <w:szCs w:val="20"/>
        </w:rPr>
        <w:t xml:space="preserve">(Eni 2013: 89) </w:t>
      </w:r>
    </w:p>
    <w:p w14:paraId="0D8CF03E" w14:textId="77777777" w:rsidR="00A8227E" w:rsidRPr="00640A8F" w:rsidRDefault="00A8227E" w:rsidP="00A8227E">
      <w:pPr>
        <w:spacing w:after="0" w:line="240" w:lineRule="auto"/>
        <w:ind w:leftChars="270" w:left="594"/>
        <w:jc w:val="both"/>
        <w:rPr>
          <w:rFonts w:ascii="Times New Roman" w:hAnsi="Times New Roman"/>
          <w:color w:val="auto"/>
          <w:sz w:val="20"/>
          <w:szCs w:val="20"/>
        </w:rPr>
      </w:pPr>
      <w:r w:rsidRPr="00640A8F">
        <w:rPr>
          <w:rFonts w:ascii="Times New Roman" w:hAnsi="Times New Roman"/>
          <w:color w:val="auto"/>
          <w:sz w:val="20"/>
          <w:szCs w:val="20"/>
        </w:rPr>
        <w:t>(CN4) 1月26曰，中国石油获国务院国资委授予的“中央企业扶贫开发先进单位”称号。</w:t>
      </w:r>
      <w:r w:rsidRPr="00640A8F">
        <w:rPr>
          <w:rFonts w:ascii="Times New Roman" w:hAnsi="Times New Roman"/>
          <w:b/>
          <w:color w:val="auto"/>
          <w:sz w:val="20"/>
          <w:szCs w:val="20"/>
        </w:rPr>
        <w:t>(EXT. EVA.)</w:t>
      </w:r>
      <w:r w:rsidRPr="00640A8F">
        <w:rPr>
          <w:rFonts w:ascii="Times New Roman" w:hAnsi="Times New Roman"/>
          <w:color w:val="auto"/>
          <w:sz w:val="20"/>
          <w:szCs w:val="20"/>
        </w:rPr>
        <w:t xml:space="preserve"> (中石油集团 2013) [(CN4-Translation by CNPC) On January 26, CNPC was granted the title of “Excellent Central Enterprise in Poverty Alleviation and Development” by the State-owned Assets Supervision and Administration Commission of the State Council (SASAC).</w:t>
      </w:r>
      <w:r w:rsidRPr="00640A8F">
        <w:rPr>
          <w:rFonts w:ascii="Times New Roman" w:hAnsi="Times New Roman"/>
          <w:b/>
          <w:color w:val="auto"/>
          <w:sz w:val="20"/>
          <w:szCs w:val="20"/>
        </w:rPr>
        <w:t xml:space="preserve"> (EXT. EVA.)</w:t>
      </w:r>
      <w:r w:rsidRPr="00640A8F">
        <w:rPr>
          <w:rFonts w:ascii="Times New Roman" w:hAnsi="Times New Roman"/>
          <w:color w:val="auto"/>
          <w:sz w:val="20"/>
          <w:szCs w:val="20"/>
        </w:rPr>
        <w:t xml:space="preserve"> (CNPC 2013)]</w:t>
      </w:r>
    </w:p>
    <w:p w14:paraId="72E92D66" w14:textId="77777777" w:rsidR="00A8227E" w:rsidRPr="00640A8F" w:rsidRDefault="00A8227E" w:rsidP="00A8227E">
      <w:pPr>
        <w:spacing w:after="0" w:line="240" w:lineRule="auto"/>
        <w:ind w:leftChars="270" w:left="594"/>
        <w:jc w:val="both"/>
        <w:rPr>
          <w:rFonts w:ascii="Times New Roman" w:hAnsi="Times New Roman"/>
          <w:color w:val="auto"/>
          <w:sz w:val="20"/>
          <w:szCs w:val="20"/>
        </w:rPr>
      </w:pPr>
      <w:r w:rsidRPr="00640A8F">
        <w:rPr>
          <w:rFonts w:ascii="Times New Roman" w:hAnsi="Times New Roman"/>
          <w:color w:val="auto"/>
          <w:sz w:val="20"/>
          <w:szCs w:val="20"/>
        </w:rPr>
        <w:t xml:space="preserve">(EN4) When managed properly, our presence in a region has the potential to contribute to local and national economies. </w:t>
      </w:r>
      <w:r w:rsidRPr="00640A8F">
        <w:rPr>
          <w:rFonts w:ascii="Times New Roman" w:hAnsi="Times New Roman"/>
          <w:b/>
          <w:color w:val="auto"/>
          <w:sz w:val="20"/>
          <w:szCs w:val="20"/>
        </w:rPr>
        <w:t>(STRENGTH)</w:t>
      </w:r>
      <w:r w:rsidRPr="00640A8F">
        <w:rPr>
          <w:rFonts w:ascii="Times New Roman" w:hAnsi="Times New Roman"/>
          <w:color w:val="auto"/>
          <w:sz w:val="20"/>
          <w:szCs w:val="20"/>
        </w:rPr>
        <w:t xml:space="preserve"> (BP 2013) </w:t>
      </w:r>
    </w:p>
    <w:p w14:paraId="767F88B4" w14:textId="77777777" w:rsidR="00A8227E" w:rsidRPr="00640A8F" w:rsidRDefault="00A8227E" w:rsidP="00A8227E">
      <w:pPr>
        <w:spacing w:after="0" w:line="240" w:lineRule="auto"/>
        <w:ind w:leftChars="270" w:left="594"/>
        <w:jc w:val="both"/>
        <w:rPr>
          <w:rFonts w:ascii="Times New Roman" w:hAnsi="Times New Roman"/>
          <w:color w:val="auto"/>
          <w:sz w:val="20"/>
          <w:szCs w:val="20"/>
        </w:rPr>
      </w:pPr>
      <w:r w:rsidRPr="00640A8F">
        <w:rPr>
          <w:rFonts w:ascii="Times New Roman" w:hAnsi="Times New Roman"/>
          <w:color w:val="auto"/>
          <w:sz w:val="20"/>
          <w:szCs w:val="20"/>
        </w:rPr>
        <w:t xml:space="preserve">(EN5) Award: Recognizing the successful cross-sector collaboration on Kindergarten to College, Citi Community Development and the City and County of San Francisco received the 2013 Excellence Award for Public-Private Partnerships from the U.S. Conference of Mayors. </w:t>
      </w:r>
      <w:r w:rsidRPr="00640A8F">
        <w:rPr>
          <w:rFonts w:ascii="Times New Roman" w:hAnsi="Times New Roman"/>
          <w:b/>
          <w:color w:val="auto"/>
          <w:sz w:val="20"/>
          <w:szCs w:val="20"/>
        </w:rPr>
        <w:t xml:space="preserve">(EXT. EVA.) </w:t>
      </w:r>
      <w:r w:rsidRPr="00640A8F">
        <w:rPr>
          <w:rFonts w:ascii="Times New Roman" w:hAnsi="Times New Roman"/>
          <w:color w:val="auto"/>
          <w:sz w:val="20"/>
          <w:szCs w:val="20"/>
        </w:rPr>
        <w:t xml:space="preserve">(Citi 2013) </w:t>
      </w:r>
    </w:p>
    <w:p w14:paraId="15AC5BE7" w14:textId="77777777" w:rsidR="00A8227E" w:rsidRPr="00640A8F" w:rsidRDefault="00A8227E" w:rsidP="00A8227E">
      <w:pPr>
        <w:spacing w:after="0" w:line="240" w:lineRule="auto"/>
        <w:ind w:leftChars="270" w:left="594"/>
        <w:jc w:val="both"/>
        <w:rPr>
          <w:rFonts w:ascii="Times New Roman" w:hAnsi="Times New Roman"/>
          <w:color w:val="auto"/>
          <w:sz w:val="20"/>
          <w:szCs w:val="20"/>
        </w:rPr>
      </w:pPr>
    </w:p>
    <w:p w14:paraId="104E5FCC"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The move is more extensive in the SP section of the Italian CSR reports than in their Chinese and English counterparts, as shown in Table 9.7.</w:t>
      </w:r>
    </w:p>
    <w:p w14:paraId="29BDD566" w14:textId="77777777" w:rsidR="00A8227E" w:rsidRPr="00640A8F" w:rsidRDefault="00A8227E" w:rsidP="00A8227E">
      <w:pPr>
        <w:spacing w:after="0" w:line="240" w:lineRule="auto"/>
        <w:jc w:val="both"/>
        <w:rPr>
          <w:rFonts w:ascii="Times New Roman" w:hAnsi="Times New Roman"/>
          <w:color w:val="auto"/>
          <w:sz w:val="20"/>
          <w:szCs w:val="20"/>
        </w:rPr>
      </w:pPr>
    </w:p>
    <w:tbl>
      <w:tblPr>
        <w:tblW w:w="0" w:type="auto"/>
        <w:tblInd w:w="754" w:type="dxa"/>
        <w:tblLook w:val="04A0" w:firstRow="1" w:lastRow="0" w:firstColumn="1" w:lastColumn="0" w:noHBand="0" w:noVBand="1"/>
      </w:tblPr>
      <w:tblGrid>
        <w:gridCol w:w="2868"/>
        <w:gridCol w:w="1219"/>
        <w:gridCol w:w="1353"/>
        <w:gridCol w:w="1329"/>
      </w:tblGrid>
      <w:tr w:rsidR="00A8227E" w:rsidRPr="00640A8F" w14:paraId="29A260D2" w14:textId="77777777" w:rsidTr="00C0667F">
        <w:trPr>
          <w:trHeight w:val="413"/>
        </w:trPr>
        <w:tc>
          <w:tcPr>
            <w:tcW w:w="0" w:type="auto"/>
            <w:hideMark/>
          </w:tcPr>
          <w:p w14:paraId="72B07E0C"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Moves in ‘Self-presentation’</w:t>
            </w:r>
          </w:p>
        </w:tc>
        <w:tc>
          <w:tcPr>
            <w:tcW w:w="0" w:type="auto"/>
            <w:noWrap/>
            <w:hideMark/>
          </w:tcPr>
          <w:p w14:paraId="77E083F3"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CSR-Ita-T</w:t>
            </w:r>
          </w:p>
        </w:tc>
        <w:tc>
          <w:tcPr>
            <w:tcW w:w="0" w:type="auto"/>
            <w:noWrap/>
            <w:hideMark/>
          </w:tcPr>
          <w:p w14:paraId="7B32E933" w14:textId="77777777" w:rsidR="00A8227E" w:rsidRPr="00640A8F" w:rsidRDefault="00A8227E" w:rsidP="00C0667F">
            <w:pPr>
              <w:spacing w:after="0" w:line="240" w:lineRule="auto"/>
              <w:rPr>
                <w:rFonts w:ascii="Times New Roman" w:hAnsi="Times New Roman"/>
                <w:b/>
                <w:color w:val="auto"/>
              </w:rPr>
            </w:pPr>
            <w:r w:rsidRPr="00640A8F">
              <w:rPr>
                <w:rFonts w:ascii="Times New Roman" w:hAnsi="Times New Roman"/>
                <w:b/>
                <w:color w:val="auto"/>
              </w:rPr>
              <w:t>CSR-Chn-T</w:t>
            </w:r>
          </w:p>
        </w:tc>
        <w:tc>
          <w:tcPr>
            <w:tcW w:w="0" w:type="auto"/>
            <w:hideMark/>
          </w:tcPr>
          <w:p w14:paraId="6B294754" w14:textId="77777777" w:rsidR="00A8227E" w:rsidRPr="00640A8F" w:rsidRDefault="00A8227E" w:rsidP="00C0667F">
            <w:pPr>
              <w:spacing w:after="0" w:line="240" w:lineRule="auto"/>
              <w:rPr>
                <w:rFonts w:ascii="Times New Roman" w:hAnsi="Times New Roman"/>
                <w:b/>
                <w:bCs/>
                <w:color w:val="auto"/>
              </w:rPr>
            </w:pPr>
            <w:r w:rsidRPr="00640A8F">
              <w:rPr>
                <w:rFonts w:ascii="Times New Roman" w:hAnsi="Times New Roman"/>
                <w:b/>
                <w:bCs/>
                <w:color w:val="auto"/>
              </w:rPr>
              <w:t>CSR-Eng-T</w:t>
            </w:r>
          </w:p>
        </w:tc>
      </w:tr>
      <w:tr w:rsidR="00A8227E" w:rsidRPr="00640A8F" w14:paraId="6D5940D6" w14:textId="77777777" w:rsidTr="00C0667F">
        <w:trPr>
          <w:trHeight w:val="314"/>
        </w:trPr>
        <w:tc>
          <w:tcPr>
            <w:tcW w:w="0" w:type="auto"/>
          </w:tcPr>
          <w:p w14:paraId="55692324"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6. Credentials</w:t>
            </w:r>
          </w:p>
        </w:tc>
        <w:tc>
          <w:tcPr>
            <w:tcW w:w="0" w:type="auto"/>
            <w:noWrap/>
            <w:vAlign w:val="center"/>
          </w:tcPr>
          <w:p w14:paraId="3D760787"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8.09%</w:t>
            </w:r>
          </w:p>
        </w:tc>
        <w:tc>
          <w:tcPr>
            <w:tcW w:w="0" w:type="auto"/>
            <w:noWrap/>
            <w:vAlign w:val="center"/>
          </w:tcPr>
          <w:p w14:paraId="740B8BA6"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5.45%</w:t>
            </w:r>
          </w:p>
        </w:tc>
        <w:tc>
          <w:tcPr>
            <w:tcW w:w="0" w:type="auto"/>
            <w:vAlign w:val="center"/>
          </w:tcPr>
          <w:p w14:paraId="79F955B0" w14:textId="77777777" w:rsidR="00A8227E" w:rsidRPr="00640A8F" w:rsidRDefault="00A8227E" w:rsidP="00C0667F">
            <w:pPr>
              <w:spacing w:after="0" w:line="240" w:lineRule="auto"/>
              <w:rPr>
                <w:rFonts w:ascii="Times New Roman" w:eastAsia="SimSun" w:hAnsi="Times New Roman"/>
                <w:color w:val="auto"/>
              </w:rPr>
            </w:pPr>
            <w:r w:rsidRPr="00640A8F">
              <w:rPr>
                <w:rFonts w:ascii="Times New Roman" w:eastAsia="SimSun" w:hAnsi="Times New Roman"/>
                <w:color w:val="auto"/>
              </w:rPr>
              <w:t>6.05%</w:t>
            </w:r>
          </w:p>
        </w:tc>
      </w:tr>
    </w:tbl>
    <w:p w14:paraId="14195458" w14:textId="77777777" w:rsidR="00A8227E" w:rsidRPr="00640A8F" w:rsidRDefault="00A8227E" w:rsidP="00A8227E">
      <w:pPr>
        <w:spacing w:after="0" w:line="240" w:lineRule="auto"/>
        <w:jc w:val="both"/>
        <w:rPr>
          <w:rFonts w:ascii="Times New Roman" w:hAnsi="Times New Roman"/>
          <w:color w:val="auto"/>
          <w:sz w:val="20"/>
          <w:szCs w:val="20"/>
        </w:rPr>
      </w:pPr>
      <w:bookmarkStart w:id="16" w:name="_Hlk506731520"/>
      <w:r w:rsidRPr="00640A8F">
        <w:rPr>
          <w:rFonts w:ascii="Times New Roman" w:hAnsi="Times New Roman"/>
          <w:b/>
          <w:color w:val="auto"/>
          <w:sz w:val="20"/>
          <w:szCs w:val="20"/>
        </w:rPr>
        <w:t>Table 9.7.</w:t>
      </w:r>
      <w:r w:rsidRPr="00640A8F">
        <w:rPr>
          <w:rFonts w:ascii="Times New Roman" w:hAnsi="Times New Roman"/>
          <w:color w:val="auto"/>
          <w:sz w:val="20"/>
          <w:szCs w:val="20"/>
        </w:rPr>
        <w:t xml:space="preserve"> “Establishing credentials” in SP (CSR-Ita-T/ CSR-Chn-T/ CSR-Eng-T)</w:t>
      </w:r>
    </w:p>
    <w:bookmarkEnd w:id="16"/>
    <w:p w14:paraId="2AC57E86" w14:textId="77777777" w:rsidR="00A8227E" w:rsidRPr="00640A8F" w:rsidRDefault="00A8227E" w:rsidP="00A8227E">
      <w:pPr>
        <w:spacing w:after="0" w:line="240" w:lineRule="auto"/>
        <w:jc w:val="both"/>
        <w:rPr>
          <w:rFonts w:ascii="Times New Roman" w:hAnsi="Times New Roman"/>
          <w:color w:val="auto"/>
          <w:sz w:val="20"/>
          <w:szCs w:val="20"/>
        </w:rPr>
      </w:pPr>
    </w:p>
    <w:p w14:paraId="7593AA40" w14:textId="77777777" w:rsidR="00A8227E" w:rsidRPr="00640A8F" w:rsidRDefault="00A8227E" w:rsidP="00A8227E">
      <w:pPr>
        <w:spacing w:after="0" w:line="240" w:lineRule="auto"/>
        <w:jc w:val="center"/>
        <w:rPr>
          <w:rFonts w:ascii="Times New Roman" w:hAnsi="Times New Roman"/>
          <w:b/>
          <w:color w:val="auto"/>
        </w:rPr>
      </w:pPr>
      <w:r w:rsidRPr="00640A8F">
        <w:rPr>
          <w:rFonts w:ascii="Times New Roman" w:hAnsi="Times New Roman"/>
          <w:b/>
          <w:color w:val="auto"/>
        </w:rPr>
        <w:t>5. Conclusions</w:t>
      </w:r>
    </w:p>
    <w:p w14:paraId="3CF755B5"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The study has highlighted four discourse features of the CSR report genre: dynamicity, complexity, multimodality, and recursivity. </w:t>
      </w:r>
    </w:p>
    <w:p w14:paraId="779FCF5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CSR reports emerge as a (macro-) genre of increasing </w:t>
      </w:r>
      <w:r w:rsidRPr="00640A8F">
        <w:rPr>
          <w:rFonts w:ascii="Times New Roman" w:hAnsi="Times New Roman"/>
          <w:b/>
          <w:color w:val="auto"/>
          <w:sz w:val="20"/>
          <w:szCs w:val="20"/>
        </w:rPr>
        <w:t>complexity</w:t>
      </w:r>
      <w:r w:rsidRPr="00640A8F">
        <w:rPr>
          <w:rFonts w:ascii="Times New Roman" w:hAnsi="Times New Roman"/>
          <w:color w:val="auto"/>
          <w:sz w:val="20"/>
          <w:szCs w:val="20"/>
        </w:rPr>
        <w:t xml:space="preserve">, increasingly integrated in the context of corporate accounting and communication. A preliminary micro-diachronic analysis has highlighted the dynamic evolution of this genre leading to its increasing complexity. The </w:t>
      </w:r>
      <w:r w:rsidRPr="00640A8F">
        <w:rPr>
          <w:rFonts w:ascii="Times New Roman" w:hAnsi="Times New Roman"/>
          <w:b/>
          <w:color w:val="auto"/>
          <w:sz w:val="20"/>
          <w:szCs w:val="20"/>
        </w:rPr>
        <w:t>dynamicity</w:t>
      </w:r>
      <w:r w:rsidRPr="00640A8F">
        <w:rPr>
          <w:rFonts w:ascii="Times New Roman" w:hAnsi="Times New Roman"/>
          <w:color w:val="auto"/>
          <w:sz w:val="20"/>
          <w:szCs w:val="20"/>
        </w:rPr>
        <w:t xml:space="preserve"> of the genre is derived from and embodied in the progressively changing environment: the continuous technological advances offer a wider range of communicative forms </w:t>
      </w:r>
      <w:r w:rsidRPr="00640A8F">
        <w:rPr>
          <w:rFonts w:ascii="Times New Roman" w:hAnsi="Times New Roman"/>
          <w:b/>
          <w:color w:val="auto"/>
          <w:sz w:val="20"/>
          <w:szCs w:val="20"/>
        </w:rPr>
        <w:t>(multimodality)</w:t>
      </w:r>
      <w:r w:rsidRPr="00640A8F">
        <w:rPr>
          <w:rFonts w:ascii="Times New Roman" w:hAnsi="Times New Roman"/>
          <w:color w:val="auto"/>
          <w:sz w:val="20"/>
          <w:szCs w:val="20"/>
        </w:rPr>
        <w:t xml:space="preserve">; and the developing institutional and legislative guidelines and directives, in the progress of standardizing approaches to CSR reporting, continue to provide even more detailed concepts and notions to be incorporated in corporations’ CSR communications </w:t>
      </w:r>
      <w:r w:rsidRPr="00640A8F">
        <w:rPr>
          <w:rFonts w:ascii="Times New Roman" w:hAnsi="Times New Roman"/>
          <w:b/>
          <w:color w:val="auto"/>
          <w:sz w:val="20"/>
          <w:szCs w:val="20"/>
        </w:rPr>
        <w:t>(intertextuality)</w:t>
      </w:r>
      <w:r w:rsidRPr="00640A8F">
        <w:rPr>
          <w:rFonts w:ascii="Times New Roman" w:hAnsi="Times New Roman"/>
          <w:color w:val="auto"/>
          <w:sz w:val="20"/>
          <w:szCs w:val="20"/>
        </w:rPr>
        <w:t xml:space="preserve">. </w:t>
      </w:r>
    </w:p>
    <w:p w14:paraId="48E29E4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The functional annotation of a comparative corpus – integrating prescribed content and textual-pragmatic function – has revealed converging and diverging trends in two textual features of CSR reports - </w:t>
      </w:r>
      <w:r w:rsidRPr="00640A8F">
        <w:rPr>
          <w:rFonts w:ascii="Times New Roman" w:hAnsi="Times New Roman"/>
          <w:b/>
          <w:color w:val="auto"/>
          <w:sz w:val="20"/>
          <w:szCs w:val="20"/>
        </w:rPr>
        <w:t>multimodality</w:t>
      </w:r>
      <w:r w:rsidRPr="00640A8F">
        <w:rPr>
          <w:rFonts w:ascii="Times New Roman" w:hAnsi="Times New Roman"/>
          <w:color w:val="auto"/>
          <w:sz w:val="20"/>
          <w:szCs w:val="20"/>
        </w:rPr>
        <w:t xml:space="preserve"> and </w:t>
      </w:r>
      <w:r w:rsidRPr="00640A8F">
        <w:rPr>
          <w:rFonts w:ascii="Times New Roman" w:hAnsi="Times New Roman"/>
          <w:b/>
          <w:color w:val="auto"/>
          <w:sz w:val="20"/>
          <w:szCs w:val="20"/>
        </w:rPr>
        <w:t>recursivity</w:t>
      </w:r>
      <w:r w:rsidRPr="00640A8F">
        <w:rPr>
          <w:rFonts w:ascii="Times New Roman" w:hAnsi="Times New Roman"/>
          <w:color w:val="auto"/>
          <w:sz w:val="20"/>
          <w:szCs w:val="20"/>
        </w:rPr>
        <w:t xml:space="preserve"> - which together give rise to the complexity of the genre. Both multimodality and recursivity are also used as formal tools to manage and regulate the generic complexity and hybridity. Visual units are increasingly employed to enhance the readability of the report: images, diagrams and tables are vehicles for vivid and distinct manifestation of the textual information; lead-ins, boxes, columns and magnified texts help the readers to distinguish information with different topics or levels of importance. </w:t>
      </w:r>
    </w:p>
    <w:p w14:paraId="38DF5A9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Recursivity is reflected in rhetorical patterns, which contribute to highlighting the expositive or argumentative features of the report. With a focus on the self-presentation section, the study has highlighted the rhetorical functions of </w:t>
      </w:r>
      <w:r w:rsidRPr="00640A8F">
        <w:rPr>
          <w:rFonts w:ascii="Times New Roman" w:hAnsi="Times New Roman"/>
          <w:color w:val="auto"/>
          <w:sz w:val="20"/>
          <w:szCs w:val="20"/>
        </w:rPr>
        <w:lastRenderedPageBreak/>
        <w:t xml:space="preserve">four repetitive core moves and explored recurrent language patterns and semantic resources of the section. The recursivity of the rhetorical patterns can also be related to the three types of interdiscourse of CSR reports highlighted by Bhatia (2012): discourse of </w:t>
      </w:r>
      <w:r w:rsidRPr="00640A8F">
        <w:rPr>
          <w:rFonts w:ascii="Times New Roman" w:hAnsi="Times New Roman"/>
          <w:i/>
          <w:color w:val="auto"/>
          <w:sz w:val="20"/>
          <w:szCs w:val="20"/>
        </w:rPr>
        <w:t>promotion</w:t>
      </w:r>
      <w:r w:rsidRPr="00640A8F">
        <w:rPr>
          <w:rFonts w:ascii="Times New Roman" w:hAnsi="Times New Roman"/>
          <w:color w:val="auto"/>
          <w:sz w:val="20"/>
          <w:szCs w:val="20"/>
        </w:rPr>
        <w:t xml:space="preserve">, discourse of </w:t>
      </w:r>
      <w:r w:rsidRPr="00640A8F">
        <w:rPr>
          <w:rFonts w:ascii="Times New Roman" w:hAnsi="Times New Roman"/>
          <w:i/>
          <w:color w:val="auto"/>
          <w:sz w:val="20"/>
          <w:szCs w:val="20"/>
        </w:rPr>
        <w:t>goodwill</w:t>
      </w:r>
      <w:r w:rsidRPr="00640A8F">
        <w:rPr>
          <w:rFonts w:ascii="Times New Roman" w:hAnsi="Times New Roman"/>
          <w:color w:val="auto"/>
          <w:sz w:val="20"/>
          <w:szCs w:val="20"/>
        </w:rPr>
        <w:t xml:space="preserve">, and discourse of </w:t>
      </w:r>
      <w:r w:rsidRPr="00640A8F">
        <w:rPr>
          <w:rFonts w:ascii="Times New Roman" w:hAnsi="Times New Roman"/>
          <w:i/>
          <w:color w:val="auto"/>
          <w:sz w:val="20"/>
          <w:szCs w:val="20"/>
        </w:rPr>
        <w:t>self-justification.</w:t>
      </w:r>
      <w:r w:rsidRPr="00640A8F">
        <w:rPr>
          <w:rFonts w:ascii="Times New Roman" w:hAnsi="Times New Roman"/>
          <w:color w:val="auto"/>
          <w:sz w:val="20"/>
          <w:szCs w:val="20"/>
        </w:rPr>
        <w:t xml:space="preserve"> The moves “Presenting corporate profile”, “Presenting corporate governance” and “Establishing credentials” contribute to the discourse of </w:t>
      </w:r>
      <w:r w:rsidRPr="00640A8F">
        <w:rPr>
          <w:rFonts w:ascii="Times New Roman" w:hAnsi="Times New Roman"/>
          <w:i/>
          <w:color w:val="auto"/>
          <w:sz w:val="20"/>
          <w:szCs w:val="20"/>
        </w:rPr>
        <w:t>promotion</w:t>
      </w:r>
      <w:r w:rsidRPr="00640A8F">
        <w:rPr>
          <w:rFonts w:ascii="Times New Roman" w:hAnsi="Times New Roman"/>
          <w:color w:val="auto"/>
          <w:sz w:val="20"/>
          <w:szCs w:val="20"/>
        </w:rPr>
        <w:t xml:space="preserve">, while the move “Stating values and beliefs” builds up the discourse of </w:t>
      </w:r>
      <w:r w:rsidRPr="00640A8F">
        <w:rPr>
          <w:rFonts w:ascii="Times New Roman" w:hAnsi="Times New Roman"/>
          <w:i/>
          <w:color w:val="auto"/>
          <w:sz w:val="20"/>
          <w:szCs w:val="20"/>
        </w:rPr>
        <w:t>goodwill</w:t>
      </w:r>
      <w:r w:rsidRPr="00640A8F">
        <w:rPr>
          <w:rFonts w:ascii="Times New Roman" w:hAnsi="Times New Roman"/>
          <w:color w:val="auto"/>
          <w:sz w:val="20"/>
          <w:szCs w:val="20"/>
        </w:rPr>
        <w:t xml:space="preserve">. In specific contextual perspectives, the latter two moves form the discourse of </w:t>
      </w:r>
      <w:r w:rsidRPr="00640A8F">
        <w:rPr>
          <w:rFonts w:ascii="Times New Roman" w:hAnsi="Times New Roman"/>
          <w:i/>
          <w:color w:val="auto"/>
          <w:sz w:val="20"/>
          <w:szCs w:val="20"/>
        </w:rPr>
        <w:t>self-justification</w:t>
      </w:r>
      <w:r w:rsidRPr="00640A8F">
        <w:rPr>
          <w:rFonts w:ascii="Times New Roman" w:hAnsi="Times New Roman"/>
          <w:color w:val="auto"/>
          <w:sz w:val="20"/>
          <w:szCs w:val="20"/>
        </w:rPr>
        <w:t xml:space="preserve">. </w:t>
      </w:r>
    </w:p>
    <w:p w14:paraId="6BA44227"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b/>
        <w:t xml:space="preserve">In a comparative perspective, the cross-cultural variations revealed in the study remain mostly on a quantitative level. The general trends are presented below: </w:t>
      </w:r>
    </w:p>
    <w:p w14:paraId="178ABB72" w14:textId="77777777" w:rsidR="00A8227E" w:rsidRPr="00640A8F" w:rsidRDefault="00A8227E" w:rsidP="00A8227E">
      <w:pPr>
        <w:pStyle w:val="Paragrafoelenco"/>
        <w:widowControl w:val="0"/>
        <w:numPr>
          <w:ilvl w:val="0"/>
          <w:numId w:val="4"/>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Italian CSR reports are characterized by greater length, less multimodal elements, more extensive preamble and corollary sections. Moreover, the Italian sample shows preference to auditor’s reports, methodological statements and supplements.;</w:t>
      </w:r>
    </w:p>
    <w:p w14:paraId="4045BFD5" w14:textId="77777777" w:rsidR="00A8227E" w:rsidRPr="00640A8F" w:rsidRDefault="00A8227E" w:rsidP="00A8227E">
      <w:pPr>
        <w:pStyle w:val="Paragrafoelenco"/>
        <w:widowControl w:val="0"/>
        <w:numPr>
          <w:ilvl w:val="0"/>
          <w:numId w:val="4"/>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Chinese reports are characterized by a lower quantity of words, the noticeable use of visual elements, and the preference of for management statements, feedbacks and glossaries.;</w:t>
      </w:r>
    </w:p>
    <w:p w14:paraId="4EDD29CA" w14:textId="77777777" w:rsidR="00A8227E" w:rsidRPr="00640A8F" w:rsidRDefault="00A8227E" w:rsidP="00A8227E">
      <w:pPr>
        <w:pStyle w:val="Paragrafoelenco"/>
        <w:widowControl w:val="0"/>
        <w:numPr>
          <w:ilvl w:val="0"/>
          <w:numId w:val="4"/>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English reports are characterized by the limited use of preamble and corollary, and the preference for cautionary statements.;</w:t>
      </w:r>
    </w:p>
    <w:p w14:paraId="15991B4D" w14:textId="77777777" w:rsidR="00A8227E" w:rsidRPr="00640A8F" w:rsidRDefault="00A8227E" w:rsidP="00A8227E">
      <w:pPr>
        <w:pStyle w:val="Paragrafoelenco"/>
        <w:widowControl w:val="0"/>
        <w:numPr>
          <w:ilvl w:val="0"/>
          <w:numId w:val="4"/>
        </w:numPr>
        <w:suppressAutoHyphens w:val="0"/>
        <w:spacing w:after="0" w:line="240" w:lineRule="auto"/>
        <w:ind w:firstLine="0"/>
        <w:contextualSpacing w:val="0"/>
        <w:jc w:val="both"/>
        <w:rPr>
          <w:rFonts w:ascii="Times New Roman" w:hAnsi="Times New Roman"/>
          <w:color w:val="auto"/>
          <w:sz w:val="20"/>
          <w:szCs w:val="20"/>
        </w:rPr>
      </w:pPr>
      <w:r w:rsidRPr="00640A8F">
        <w:rPr>
          <w:rFonts w:ascii="Times New Roman" w:hAnsi="Times New Roman"/>
          <w:color w:val="auto"/>
          <w:sz w:val="20"/>
          <w:szCs w:val="20"/>
        </w:rPr>
        <w:t>In terms of the SP section, the Italian reports show particular interest in “Presenting corporate governance”, the Chinese tend to pay more attention on “Stating values and beliefs” in Chinese, while the English sample is characterized by the very limited use of “Presenting corporate profile”.</w:t>
      </w:r>
    </w:p>
    <w:p w14:paraId="2DB9288C" w14:textId="77777777" w:rsidR="00A8227E" w:rsidRPr="00640A8F" w:rsidRDefault="00A8227E" w:rsidP="00A8227E">
      <w:pPr>
        <w:spacing w:after="0" w:line="240" w:lineRule="auto"/>
        <w:jc w:val="both"/>
        <w:rPr>
          <w:rFonts w:ascii="Times New Roman" w:hAnsi="Times New Roman"/>
          <w:color w:val="auto"/>
          <w:sz w:val="20"/>
          <w:szCs w:val="20"/>
        </w:rPr>
      </w:pPr>
    </w:p>
    <w:p w14:paraId="335558F4"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However, despite these variations, the comparative approach we used has also highlighted great cross-cultural universality, with the clear possibility of establishing a common rhetorical structure and exploring common business approaches in the increasing global context of disclosure documents. The patterns highlighted can be understood in relation to a vision of companies as social and economic actors, as well as to corporate image construction, corporate culture creation and reputation enhancement. </w:t>
      </w:r>
    </w:p>
    <w:p w14:paraId="6C42572A"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As intensive work is needed for the annotation process, this study is limited in the sample size. Although the data present some quantitatively noticeable culture-specific features, which also correspond to our experience with other CSR reports not included in the sample, one should always keep in mind that observations may vary when including a higher quantity of reports from a wider range of industries.</w:t>
      </w:r>
    </w:p>
    <w:p w14:paraId="4816CDE2" w14:textId="77777777" w:rsidR="00A8227E" w:rsidRPr="00640A8F" w:rsidRDefault="00A8227E" w:rsidP="00A8227E">
      <w:pPr>
        <w:spacing w:after="0" w:line="240" w:lineRule="auto"/>
        <w:rPr>
          <w:rFonts w:ascii="Times New Roman" w:hAnsi="Times New Roman"/>
          <w:b/>
          <w:color w:val="auto"/>
          <w:sz w:val="20"/>
          <w:szCs w:val="20"/>
        </w:rPr>
      </w:pPr>
    </w:p>
    <w:p w14:paraId="2DE53909" w14:textId="77777777" w:rsidR="00A8227E" w:rsidRPr="00640A8F" w:rsidRDefault="00A8227E" w:rsidP="00A8227E">
      <w:pPr>
        <w:spacing w:after="0" w:line="240" w:lineRule="auto"/>
        <w:jc w:val="center"/>
        <w:rPr>
          <w:rFonts w:ascii="Times New Roman" w:hAnsi="Times New Roman"/>
          <w:b/>
          <w:color w:val="auto"/>
          <w:sz w:val="24"/>
          <w:szCs w:val="24"/>
        </w:rPr>
      </w:pPr>
      <w:r w:rsidRPr="00640A8F">
        <w:rPr>
          <w:rFonts w:ascii="Times New Roman" w:hAnsi="Times New Roman"/>
          <w:b/>
          <w:color w:val="auto"/>
          <w:sz w:val="24"/>
          <w:szCs w:val="24"/>
        </w:rPr>
        <w:t>References</w:t>
      </w:r>
    </w:p>
    <w:p w14:paraId="4DC9D141" w14:textId="77777777" w:rsidR="00A8227E" w:rsidRPr="00640A8F" w:rsidRDefault="00A8227E" w:rsidP="00A8227E">
      <w:pPr>
        <w:spacing w:after="0" w:line="240" w:lineRule="auto"/>
        <w:rPr>
          <w:rFonts w:ascii="Times New Roman" w:hAnsi="Times New Roman"/>
          <w:color w:val="auto"/>
          <w:sz w:val="20"/>
          <w:szCs w:val="20"/>
        </w:rPr>
      </w:pPr>
    </w:p>
    <w:p w14:paraId="526D934A" w14:textId="77777777" w:rsidR="00A8227E" w:rsidRPr="00640A8F" w:rsidRDefault="00A8227E" w:rsidP="00A8227E">
      <w:pPr>
        <w:spacing w:after="0" w:line="240" w:lineRule="auto"/>
        <w:ind w:left="400" w:hangingChars="200" w:hanging="400"/>
        <w:jc w:val="both"/>
        <w:rPr>
          <w:rFonts w:ascii="Times New Roman" w:eastAsia="SimSun" w:hAnsi="Times New Roman"/>
          <w:color w:val="auto"/>
          <w:kern w:val="1"/>
          <w:sz w:val="20"/>
          <w:szCs w:val="20"/>
          <w:lang w:eastAsia="hi-IN" w:bidi="hi-IN"/>
        </w:rPr>
      </w:pPr>
      <w:r w:rsidRPr="00640A8F">
        <w:rPr>
          <w:rFonts w:ascii="Times New Roman" w:eastAsia="SimSun" w:hAnsi="Times New Roman"/>
          <w:color w:val="auto"/>
          <w:kern w:val="1"/>
          <w:sz w:val="20"/>
          <w:szCs w:val="20"/>
          <w:lang w:eastAsia="hi-IN" w:bidi="hi-IN"/>
        </w:rPr>
        <w:t xml:space="preserve">Bhatia, A. 2012. The Corporate Social Responsibility </w:t>
      </w:r>
      <w:r w:rsidRPr="00640A8F">
        <w:rPr>
          <w:rFonts w:ascii="Times New Roman" w:eastAsia="SimSun" w:hAnsi="Times New Roman"/>
          <w:color w:val="auto"/>
          <w:kern w:val="1"/>
          <w:sz w:val="20"/>
          <w:szCs w:val="20"/>
          <w:lang w:bidi="hi-IN"/>
        </w:rPr>
        <w:t>r</w:t>
      </w:r>
      <w:r w:rsidRPr="00640A8F">
        <w:rPr>
          <w:rFonts w:ascii="Times New Roman" w:eastAsia="SimSun" w:hAnsi="Times New Roman"/>
          <w:color w:val="auto"/>
          <w:kern w:val="1"/>
          <w:sz w:val="20"/>
          <w:szCs w:val="20"/>
          <w:lang w:eastAsia="hi-IN" w:bidi="hi-IN"/>
        </w:rPr>
        <w:t xml:space="preserve">eport: </w:t>
      </w:r>
      <w:r w:rsidRPr="00640A8F">
        <w:rPr>
          <w:rFonts w:ascii="Times New Roman" w:eastAsia="SimSun" w:hAnsi="Times New Roman"/>
          <w:color w:val="auto"/>
          <w:kern w:val="1"/>
          <w:sz w:val="20"/>
          <w:szCs w:val="20"/>
          <w:lang w:bidi="hi-IN"/>
        </w:rPr>
        <w:t>t</w:t>
      </w:r>
      <w:r w:rsidRPr="00640A8F">
        <w:rPr>
          <w:rFonts w:ascii="Times New Roman" w:eastAsia="SimSun" w:hAnsi="Times New Roman"/>
          <w:color w:val="auto"/>
          <w:kern w:val="1"/>
          <w:sz w:val="20"/>
          <w:szCs w:val="20"/>
          <w:lang w:eastAsia="hi-IN" w:bidi="hi-IN"/>
        </w:rPr>
        <w:t xml:space="preserve">he </w:t>
      </w:r>
      <w:r w:rsidRPr="00640A8F">
        <w:rPr>
          <w:rFonts w:ascii="Times New Roman" w:eastAsia="SimSun" w:hAnsi="Times New Roman"/>
          <w:color w:val="auto"/>
          <w:kern w:val="1"/>
          <w:sz w:val="20"/>
          <w:szCs w:val="20"/>
          <w:lang w:bidi="hi-IN"/>
        </w:rPr>
        <w:t>h</w:t>
      </w:r>
      <w:r w:rsidRPr="00640A8F">
        <w:rPr>
          <w:rFonts w:ascii="Times New Roman" w:eastAsia="SimSun" w:hAnsi="Times New Roman"/>
          <w:color w:val="auto"/>
          <w:kern w:val="1"/>
          <w:sz w:val="20"/>
          <w:szCs w:val="20"/>
          <w:lang w:eastAsia="hi-IN" w:bidi="hi-IN"/>
        </w:rPr>
        <w:t>ybridization of a “</w:t>
      </w:r>
      <w:r w:rsidRPr="00640A8F">
        <w:rPr>
          <w:rFonts w:ascii="Times New Roman" w:eastAsia="SimSun" w:hAnsi="Times New Roman"/>
          <w:color w:val="auto"/>
          <w:kern w:val="1"/>
          <w:sz w:val="20"/>
          <w:szCs w:val="20"/>
          <w:lang w:bidi="hi-IN"/>
        </w:rPr>
        <w:t>c</w:t>
      </w:r>
      <w:r w:rsidRPr="00640A8F">
        <w:rPr>
          <w:rFonts w:ascii="Times New Roman" w:eastAsia="SimSun" w:hAnsi="Times New Roman"/>
          <w:color w:val="auto"/>
          <w:kern w:val="1"/>
          <w:sz w:val="20"/>
          <w:szCs w:val="20"/>
          <w:lang w:eastAsia="hi-IN" w:bidi="hi-IN"/>
        </w:rPr>
        <w:t xml:space="preserve">onfused” </w:t>
      </w:r>
      <w:r w:rsidRPr="00640A8F">
        <w:rPr>
          <w:rFonts w:ascii="Times New Roman" w:eastAsia="SimSun" w:hAnsi="Times New Roman"/>
          <w:color w:val="auto"/>
          <w:kern w:val="1"/>
          <w:sz w:val="20"/>
          <w:szCs w:val="20"/>
          <w:lang w:bidi="hi-IN"/>
        </w:rPr>
        <w:t>g</w:t>
      </w:r>
      <w:r w:rsidRPr="00640A8F">
        <w:rPr>
          <w:rFonts w:ascii="Times New Roman" w:eastAsia="SimSun" w:hAnsi="Times New Roman"/>
          <w:color w:val="auto"/>
          <w:kern w:val="1"/>
          <w:sz w:val="20"/>
          <w:szCs w:val="20"/>
          <w:lang w:eastAsia="hi-IN" w:bidi="hi-IN"/>
        </w:rPr>
        <w:t xml:space="preserve">enre (2007–2011). </w:t>
      </w:r>
      <w:r w:rsidRPr="00640A8F">
        <w:rPr>
          <w:rFonts w:ascii="Times New Roman" w:eastAsia="SimSun" w:hAnsi="Times New Roman"/>
          <w:i/>
          <w:color w:val="auto"/>
          <w:kern w:val="1"/>
          <w:sz w:val="20"/>
          <w:szCs w:val="20"/>
          <w:lang w:eastAsia="hi-IN" w:bidi="hi-IN"/>
        </w:rPr>
        <w:t>Professional Communication, IEEE Transactions on</w:t>
      </w:r>
      <w:r w:rsidRPr="00640A8F">
        <w:rPr>
          <w:rFonts w:ascii="Times New Roman" w:eastAsia="SimSun" w:hAnsi="Times New Roman"/>
          <w:color w:val="auto"/>
          <w:kern w:val="1"/>
          <w:sz w:val="20"/>
          <w:szCs w:val="20"/>
          <w:lang w:eastAsia="hi-IN" w:bidi="hi-IN"/>
        </w:rPr>
        <w:t xml:space="preserve"> 55(3)</w:t>
      </w:r>
      <w:r w:rsidRPr="00640A8F">
        <w:rPr>
          <w:rFonts w:ascii="Times New Roman" w:eastAsia="SimSun" w:hAnsi="Times New Roman"/>
          <w:color w:val="auto"/>
          <w:kern w:val="1"/>
          <w:sz w:val="20"/>
          <w:szCs w:val="20"/>
          <w:lang w:bidi="hi-IN"/>
        </w:rPr>
        <w:t>.</w:t>
      </w:r>
      <w:r w:rsidRPr="00640A8F">
        <w:rPr>
          <w:rFonts w:ascii="Times New Roman" w:eastAsia="SimSun" w:hAnsi="Times New Roman"/>
          <w:color w:val="auto"/>
          <w:kern w:val="1"/>
          <w:sz w:val="20"/>
          <w:szCs w:val="20"/>
          <w:lang w:eastAsia="hi-IN" w:bidi="hi-IN"/>
        </w:rPr>
        <w:t xml:space="preserve"> 221-238.</w:t>
      </w:r>
    </w:p>
    <w:p w14:paraId="50B84E35"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shd w:val="clear" w:color="auto" w:fill="FFFFFF"/>
        </w:rPr>
      </w:pPr>
      <w:r w:rsidRPr="00640A8F">
        <w:rPr>
          <w:rFonts w:ascii="Times New Roman" w:hAnsi="Times New Roman"/>
          <w:color w:val="auto"/>
          <w:sz w:val="20"/>
          <w:szCs w:val="20"/>
          <w:shd w:val="clear" w:color="auto" w:fill="FFFFFF"/>
        </w:rPr>
        <w:t xml:space="preserve">Bhatia, Vijay K. 1993. </w:t>
      </w:r>
      <w:r w:rsidRPr="00640A8F">
        <w:rPr>
          <w:rFonts w:ascii="Times New Roman" w:hAnsi="Times New Roman"/>
          <w:i/>
          <w:color w:val="auto"/>
          <w:sz w:val="20"/>
          <w:szCs w:val="20"/>
          <w:shd w:val="clear" w:color="auto" w:fill="FFFFFF"/>
        </w:rPr>
        <w:t>Analysing genre:</w:t>
      </w:r>
      <w:r w:rsidRPr="00640A8F">
        <w:rPr>
          <w:rFonts w:ascii="Times New Roman" w:hAnsi="Times New Roman"/>
          <w:color w:val="auto"/>
          <w:sz w:val="20"/>
          <w:szCs w:val="20"/>
        </w:rPr>
        <w:t> </w:t>
      </w:r>
      <w:r w:rsidRPr="00640A8F">
        <w:rPr>
          <w:rFonts w:ascii="Times New Roman" w:hAnsi="Times New Roman"/>
          <w:i/>
          <w:iCs/>
          <w:color w:val="auto"/>
          <w:sz w:val="20"/>
          <w:szCs w:val="20"/>
          <w:shd w:val="clear" w:color="auto" w:fill="FFFFFF"/>
        </w:rPr>
        <w:t>Language use in professional settings</w:t>
      </w:r>
      <w:r w:rsidRPr="00640A8F">
        <w:rPr>
          <w:rFonts w:ascii="Times New Roman" w:hAnsi="Times New Roman"/>
          <w:color w:val="auto"/>
          <w:sz w:val="20"/>
          <w:szCs w:val="20"/>
          <w:shd w:val="clear" w:color="auto" w:fill="FFFFFF"/>
        </w:rPr>
        <w:t xml:space="preserve">. </w:t>
      </w:r>
      <w:r w:rsidRPr="00640A8F">
        <w:rPr>
          <w:rFonts w:ascii="Times New Roman" w:hAnsi="Times New Roman"/>
          <w:color w:val="auto"/>
          <w:sz w:val="20"/>
          <w:szCs w:val="20"/>
        </w:rPr>
        <w:t>London: Longman.</w:t>
      </w:r>
    </w:p>
    <w:p w14:paraId="499D164E" w14:textId="77777777" w:rsidR="00A8227E" w:rsidRPr="00640A8F" w:rsidRDefault="00A8227E" w:rsidP="00A8227E">
      <w:pPr>
        <w:spacing w:after="0" w:line="240" w:lineRule="auto"/>
        <w:ind w:left="400" w:hangingChars="200" w:hanging="400"/>
        <w:jc w:val="both"/>
        <w:rPr>
          <w:rFonts w:ascii="Times New Roman" w:eastAsia="SimSun" w:hAnsi="Times New Roman"/>
          <w:color w:val="auto"/>
          <w:sz w:val="20"/>
          <w:szCs w:val="20"/>
        </w:rPr>
      </w:pPr>
      <w:r w:rsidRPr="00640A8F">
        <w:rPr>
          <w:rFonts w:ascii="Times New Roman" w:eastAsia="+mn-ea" w:hAnsi="Times New Roman"/>
          <w:color w:val="auto"/>
          <w:kern w:val="24"/>
          <w:sz w:val="20"/>
          <w:szCs w:val="20"/>
        </w:rPr>
        <w:t>Bhatia, Vijay</w:t>
      </w:r>
      <w:r w:rsidRPr="00640A8F">
        <w:rPr>
          <w:rFonts w:ascii="Times New Roman" w:hAnsi="Times New Roman"/>
          <w:color w:val="auto"/>
          <w:kern w:val="24"/>
          <w:sz w:val="20"/>
          <w:szCs w:val="20"/>
        </w:rPr>
        <w:t xml:space="preserve"> K. </w:t>
      </w:r>
      <w:r w:rsidRPr="00640A8F">
        <w:rPr>
          <w:rFonts w:ascii="Times New Roman" w:eastAsia="+mn-ea" w:hAnsi="Times New Roman"/>
          <w:color w:val="auto"/>
          <w:kern w:val="24"/>
          <w:sz w:val="20"/>
          <w:szCs w:val="20"/>
        </w:rPr>
        <w:t xml:space="preserve">2004. </w:t>
      </w:r>
      <w:r w:rsidRPr="00640A8F">
        <w:rPr>
          <w:rFonts w:ascii="Times New Roman" w:eastAsia="+mn-ea" w:hAnsi="Times New Roman"/>
          <w:i/>
          <w:iCs/>
          <w:color w:val="auto"/>
          <w:kern w:val="24"/>
          <w:sz w:val="20"/>
          <w:szCs w:val="20"/>
        </w:rPr>
        <w:t>Worlds of Written Discourse: a Genre-Based View</w:t>
      </w:r>
      <w:r w:rsidRPr="00640A8F">
        <w:rPr>
          <w:rFonts w:ascii="Times New Roman" w:eastAsia="+mn-ea" w:hAnsi="Times New Roman"/>
          <w:color w:val="auto"/>
          <w:kern w:val="24"/>
          <w:sz w:val="20"/>
          <w:szCs w:val="20"/>
        </w:rPr>
        <w:t xml:space="preserve">. London/New York: Continuum. </w:t>
      </w:r>
    </w:p>
    <w:p w14:paraId="2A6D7A04" w14:textId="77777777" w:rsidR="00A8227E" w:rsidRPr="00640A8F" w:rsidRDefault="00A8227E" w:rsidP="00A8227E">
      <w:pPr>
        <w:autoSpaceDE w:val="0"/>
        <w:autoSpaceDN w:val="0"/>
        <w:adjustRightInd w:val="0"/>
        <w:spacing w:after="0" w:line="240" w:lineRule="auto"/>
        <w:ind w:left="400" w:hangingChars="200" w:hanging="400"/>
        <w:jc w:val="both"/>
        <w:rPr>
          <w:rFonts w:ascii="Times New Roman" w:hAnsi="Times New Roman"/>
          <w:color w:val="auto"/>
          <w:sz w:val="20"/>
          <w:szCs w:val="20"/>
          <w:lang w:eastAsia="it-IT"/>
        </w:rPr>
      </w:pPr>
      <w:r w:rsidRPr="00640A8F">
        <w:rPr>
          <w:rFonts w:ascii="Times New Roman" w:hAnsi="Times New Roman"/>
          <w:color w:val="auto"/>
          <w:sz w:val="20"/>
          <w:szCs w:val="20"/>
          <w:lang w:eastAsia="it-IT"/>
        </w:rPr>
        <w:t>Bondi, Marina</w:t>
      </w:r>
      <w:r w:rsidRPr="00640A8F">
        <w:rPr>
          <w:rFonts w:ascii="Times New Roman" w:hAnsi="Times New Roman"/>
          <w:color w:val="auto"/>
          <w:sz w:val="20"/>
          <w:szCs w:val="20"/>
        </w:rPr>
        <w:t xml:space="preserve">. </w:t>
      </w:r>
      <w:r w:rsidRPr="00640A8F">
        <w:rPr>
          <w:rFonts w:ascii="Times New Roman" w:hAnsi="Times New Roman"/>
          <w:color w:val="auto"/>
          <w:sz w:val="20"/>
          <w:szCs w:val="20"/>
          <w:lang w:eastAsia="it-IT"/>
        </w:rPr>
        <w:t>2016</w:t>
      </w:r>
      <w:r w:rsidRPr="00640A8F">
        <w:rPr>
          <w:rFonts w:ascii="Times New Roman" w:hAnsi="Times New Roman"/>
          <w:color w:val="auto"/>
          <w:sz w:val="20"/>
          <w:szCs w:val="20"/>
        </w:rPr>
        <w:t>a</w:t>
      </w:r>
      <w:r w:rsidRPr="00640A8F">
        <w:rPr>
          <w:rFonts w:ascii="Times New Roman" w:hAnsi="Times New Roman"/>
          <w:color w:val="auto"/>
          <w:sz w:val="20"/>
          <w:szCs w:val="20"/>
          <w:lang w:eastAsia="it-IT"/>
        </w:rPr>
        <w:t xml:space="preserve">. The future in reports. Prediction, commitment and legitimization in CSR. </w:t>
      </w:r>
      <w:r w:rsidRPr="00640A8F">
        <w:rPr>
          <w:rFonts w:ascii="Times New Roman" w:hAnsi="Times New Roman"/>
          <w:i/>
          <w:iCs/>
          <w:color w:val="auto"/>
          <w:sz w:val="20"/>
          <w:szCs w:val="20"/>
          <w:lang w:eastAsia="it-IT"/>
        </w:rPr>
        <w:t xml:space="preserve">Pragmatics and Society </w:t>
      </w:r>
      <w:r w:rsidRPr="00640A8F">
        <w:rPr>
          <w:rFonts w:ascii="Times New Roman" w:hAnsi="Times New Roman"/>
          <w:color w:val="auto"/>
          <w:sz w:val="20"/>
          <w:szCs w:val="20"/>
          <w:lang w:eastAsia="it-IT"/>
        </w:rPr>
        <w:t>7</w:t>
      </w:r>
      <w:r w:rsidRPr="00640A8F">
        <w:rPr>
          <w:rFonts w:ascii="Times New Roman" w:hAnsi="Times New Roman"/>
          <w:color w:val="auto"/>
          <w:sz w:val="20"/>
          <w:szCs w:val="20"/>
        </w:rPr>
        <w:t>(</w:t>
      </w:r>
      <w:r w:rsidRPr="00640A8F">
        <w:rPr>
          <w:rFonts w:ascii="Times New Roman" w:hAnsi="Times New Roman"/>
          <w:color w:val="auto"/>
          <w:sz w:val="20"/>
          <w:szCs w:val="20"/>
          <w:lang w:eastAsia="it-IT"/>
        </w:rPr>
        <w:t>1</w:t>
      </w:r>
      <w:r w:rsidRPr="00640A8F">
        <w:rPr>
          <w:rFonts w:ascii="Times New Roman" w:hAnsi="Times New Roman"/>
          <w:color w:val="auto"/>
          <w:sz w:val="20"/>
          <w:szCs w:val="20"/>
        </w:rPr>
        <w:t>).</w:t>
      </w:r>
      <w:r w:rsidRPr="00640A8F">
        <w:rPr>
          <w:rFonts w:ascii="Times New Roman" w:hAnsi="Times New Roman"/>
          <w:color w:val="auto"/>
          <w:sz w:val="20"/>
          <w:szCs w:val="20"/>
          <w:lang w:eastAsia="it-IT"/>
        </w:rPr>
        <w:t xml:space="preserve"> 57–81. </w:t>
      </w:r>
    </w:p>
    <w:p w14:paraId="44EEB076"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kern w:val="24"/>
          <w:sz w:val="20"/>
          <w:szCs w:val="20"/>
        </w:rPr>
        <w:t xml:space="preserve">Bondi, Marina. 2016b. CSR reports in English and in Italian: Focus on generic structure and importance markers. In </w:t>
      </w:r>
      <w:r w:rsidRPr="00640A8F">
        <w:rPr>
          <w:rStyle w:val="sender"/>
          <w:rFonts w:ascii="Times New Roman" w:hAnsi="Times New Roman"/>
          <w:i/>
          <w:iCs/>
          <w:color w:val="auto"/>
          <w:sz w:val="20"/>
          <w:szCs w:val="20"/>
        </w:rPr>
        <w:t>LSP research and translation across languages and cultures </w:t>
      </w:r>
      <w:r w:rsidRPr="00640A8F">
        <w:rPr>
          <w:rStyle w:val="sender"/>
          <w:rFonts w:ascii="Times New Roman" w:hAnsi="Times New Roman"/>
          <w:color w:val="auto"/>
          <w:sz w:val="20"/>
          <w:szCs w:val="20"/>
        </w:rPr>
        <w:t>edited by Giuliana Garzone, Dermot Heaney and Giorgia Riboni, Cambridge Scholars.</w:t>
      </w:r>
    </w:p>
    <w:p w14:paraId="13F483E0"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Carroll, Archie. B 1979. A Three-Dimensional Model of Corporate Performance. </w:t>
      </w:r>
      <w:r w:rsidRPr="00640A8F">
        <w:rPr>
          <w:rFonts w:ascii="Times New Roman" w:hAnsi="Times New Roman"/>
          <w:i/>
          <w:color w:val="auto"/>
          <w:sz w:val="20"/>
          <w:szCs w:val="20"/>
        </w:rPr>
        <w:t>Academy of Management Review</w:t>
      </w:r>
      <w:r w:rsidRPr="00640A8F">
        <w:rPr>
          <w:rFonts w:ascii="Times New Roman" w:hAnsi="Times New Roman"/>
          <w:color w:val="auto"/>
          <w:sz w:val="20"/>
          <w:szCs w:val="20"/>
        </w:rPr>
        <w:t xml:space="preserve"> 4. 497-505.</w:t>
      </w:r>
    </w:p>
    <w:p w14:paraId="2673D628" w14:textId="77777777" w:rsidR="00A8227E" w:rsidRPr="00640A8F" w:rsidRDefault="00A8227E" w:rsidP="00A8227E">
      <w:pPr>
        <w:spacing w:after="0" w:line="240" w:lineRule="auto"/>
        <w:ind w:left="400" w:hangingChars="200" w:hanging="400"/>
        <w:jc w:val="both"/>
        <w:rPr>
          <w:rFonts w:ascii="Times New Roman" w:eastAsia="SimSun" w:hAnsi="Times New Roman"/>
          <w:color w:val="auto"/>
          <w:kern w:val="1"/>
          <w:sz w:val="20"/>
          <w:szCs w:val="20"/>
          <w:lang w:eastAsia="hi-IN" w:bidi="hi-IN"/>
        </w:rPr>
      </w:pPr>
      <w:r w:rsidRPr="00640A8F">
        <w:rPr>
          <w:rFonts w:ascii="Times New Roman" w:eastAsia="SimSun" w:hAnsi="Times New Roman"/>
          <w:color w:val="auto"/>
          <w:kern w:val="1"/>
          <w:sz w:val="20"/>
          <w:szCs w:val="20"/>
          <w:lang w:eastAsia="hi-IN" w:bidi="hi-IN"/>
        </w:rPr>
        <w:t>Catenaccio, Paola</w:t>
      </w:r>
      <w:r w:rsidRPr="00640A8F">
        <w:rPr>
          <w:rFonts w:ascii="Times New Roman" w:eastAsia="SimSun" w:hAnsi="Times New Roman"/>
          <w:color w:val="auto"/>
          <w:kern w:val="1"/>
          <w:sz w:val="20"/>
          <w:szCs w:val="20"/>
          <w:lang w:bidi="hi-IN"/>
        </w:rPr>
        <w:t xml:space="preserve">. </w:t>
      </w:r>
      <w:r w:rsidRPr="00640A8F">
        <w:rPr>
          <w:rFonts w:ascii="Times New Roman" w:eastAsia="SimSun" w:hAnsi="Times New Roman"/>
          <w:color w:val="auto"/>
          <w:kern w:val="1"/>
          <w:sz w:val="20"/>
          <w:szCs w:val="20"/>
          <w:lang w:eastAsia="hi-IN" w:bidi="hi-IN"/>
        </w:rPr>
        <w:t xml:space="preserve">2011. Social and environmental reports. A diachronic perspective on an emerging genre. In </w:t>
      </w:r>
      <w:r w:rsidRPr="00640A8F">
        <w:rPr>
          <w:rFonts w:ascii="Times New Roman" w:eastAsia="SimSun" w:hAnsi="Times New Roman"/>
          <w:color w:val="auto"/>
          <w:kern w:val="1"/>
          <w:sz w:val="20"/>
          <w:szCs w:val="20"/>
          <w:lang w:bidi="hi-IN"/>
        </w:rPr>
        <w:t xml:space="preserve">G. E. </w:t>
      </w:r>
      <w:r w:rsidRPr="00640A8F">
        <w:rPr>
          <w:rFonts w:ascii="Times New Roman" w:eastAsia="SimSun" w:hAnsi="Times New Roman"/>
          <w:color w:val="auto"/>
          <w:kern w:val="1"/>
          <w:sz w:val="20"/>
          <w:szCs w:val="20"/>
          <w:lang w:eastAsia="hi-IN" w:bidi="hi-IN"/>
        </w:rPr>
        <w:t>Garzone</w:t>
      </w:r>
      <w:r w:rsidRPr="00640A8F">
        <w:rPr>
          <w:rFonts w:ascii="Times New Roman" w:eastAsia="SimSun" w:hAnsi="Times New Roman"/>
          <w:color w:val="auto"/>
          <w:kern w:val="1"/>
          <w:sz w:val="20"/>
          <w:szCs w:val="20"/>
          <w:lang w:bidi="hi-IN"/>
        </w:rPr>
        <w:t xml:space="preserve">, and M. </w:t>
      </w:r>
      <w:r w:rsidRPr="00640A8F">
        <w:rPr>
          <w:rFonts w:ascii="Times New Roman" w:eastAsia="SimSun" w:hAnsi="Times New Roman"/>
          <w:color w:val="auto"/>
          <w:kern w:val="1"/>
          <w:sz w:val="20"/>
          <w:szCs w:val="20"/>
          <w:lang w:eastAsia="hi-IN" w:bidi="hi-IN"/>
        </w:rPr>
        <w:t xml:space="preserve">Gotti (eds.), </w:t>
      </w:r>
      <w:r w:rsidRPr="00640A8F">
        <w:rPr>
          <w:rFonts w:ascii="Times New Roman" w:eastAsia="SimSun" w:hAnsi="Times New Roman"/>
          <w:i/>
          <w:color w:val="auto"/>
          <w:kern w:val="1"/>
          <w:sz w:val="20"/>
          <w:szCs w:val="20"/>
          <w:lang w:eastAsia="hi-IN" w:bidi="hi-IN"/>
        </w:rPr>
        <w:t>Discourse, Communication and the Enterprise. Genres and Trends</w:t>
      </w:r>
      <w:r w:rsidRPr="00640A8F">
        <w:rPr>
          <w:rFonts w:ascii="Times New Roman" w:eastAsia="SimSun" w:hAnsi="Times New Roman"/>
          <w:color w:val="auto"/>
          <w:kern w:val="1"/>
          <w:sz w:val="20"/>
          <w:szCs w:val="20"/>
          <w:lang w:eastAsia="hi-IN" w:bidi="hi-IN"/>
        </w:rPr>
        <w:t>. Bern: Peter Lang</w:t>
      </w:r>
      <w:r w:rsidRPr="00640A8F">
        <w:rPr>
          <w:rFonts w:ascii="Times New Roman" w:eastAsia="SimSun" w:hAnsi="Times New Roman"/>
          <w:color w:val="auto"/>
          <w:kern w:val="1"/>
          <w:sz w:val="20"/>
          <w:szCs w:val="20"/>
          <w:lang w:bidi="hi-IN"/>
        </w:rPr>
        <w:t xml:space="preserve">. </w:t>
      </w:r>
      <w:r w:rsidRPr="00640A8F">
        <w:rPr>
          <w:rFonts w:ascii="Times New Roman" w:eastAsia="SimSun" w:hAnsi="Times New Roman"/>
          <w:color w:val="auto"/>
          <w:kern w:val="1"/>
          <w:sz w:val="20"/>
          <w:szCs w:val="20"/>
          <w:lang w:eastAsia="hi-IN" w:bidi="hi-IN"/>
        </w:rPr>
        <w:t>169-192</w:t>
      </w:r>
    </w:p>
    <w:p w14:paraId="44EB95B2" w14:textId="77777777" w:rsidR="00A8227E" w:rsidRPr="00640A8F" w:rsidRDefault="00A8227E" w:rsidP="00A8227E">
      <w:pPr>
        <w:spacing w:after="0" w:line="240" w:lineRule="auto"/>
        <w:ind w:left="400" w:hangingChars="200" w:hanging="400"/>
        <w:jc w:val="both"/>
        <w:rPr>
          <w:rFonts w:ascii="Times New Roman" w:eastAsia="SimSun" w:hAnsi="Times New Roman"/>
          <w:color w:val="auto"/>
          <w:kern w:val="1"/>
          <w:sz w:val="20"/>
          <w:szCs w:val="20"/>
          <w:lang w:bidi="hi-IN"/>
        </w:rPr>
      </w:pPr>
      <w:r w:rsidRPr="00640A8F">
        <w:rPr>
          <w:rFonts w:ascii="Times New Roman" w:eastAsia="SimSun" w:hAnsi="Times New Roman"/>
          <w:color w:val="auto"/>
          <w:kern w:val="1"/>
          <w:sz w:val="20"/>
          <w:szCs w:val="20"/>
          <w:lang w:eastAsia="hi-IN" w:bidi="hi-IN"/>
        </w:rPr>
        <w:t xml:space="preserve">Catenaccio, </w:t>
      </w:r>
      <w:r w:rsidRPr="00640A8F">
        <w:rPr>
          <w:rFonts w:ascii="Times New Roman" w:eastAsia="SimSun" w:hAnsi="Times New Roman"/>
          <w:color w:val="auto"/>
          <w:kern w:val="1"/>
          <w:sz w:val="20"/>
          <w:szCs w:val="20"/>
          <w:lang w:bidi="hi-IN"/>
        </w:rPr>
        <w:t xml:space="preserve">Paola. </w:t>
      </w:r>
      <w:r w:rsidRPr="00640A8F">
        <w:rPr>
          <w:rFonts w:ascii="Times New Roman" w:eastAsia="SimSun" w:hAnsi="Times New Roman"/>
          <w:color w:val="auto"/>
          <w:kern w:val="1"/>
          <w:sz w:val="20"/>
          <w:szCs w:val="20"/>
          <w:lang w:eastAsia="hi-IN" w:bidi="hi-IN"/>
        </w:rPr>
        <w:t xml:space="preserve">2012a. </w:t>
      </w:r>
      <w:r w:rsidRPr="00640A8F">
        <w:rPr>
          <w:rFonts w:ascii="Times New Roman" w:eastAsia="SimSun" w:hAnsi="Times New Roman"/>
          <w:i/>
          <w:color w:val="auto"/>
          <w:kern w:val="1"/>
          <w:sz w:val="20"/>
          <w:szCs w:val="20"/>
          <w:lang w:eastAsia="hi-IN" w:bidi="hi-IN"/>
        </w:rPr>
        <w:t>Understanding CSR Discourse. Insights from Linguistics and Discourse Analysis</w:t>
      </w:r>
      <w:r w:rsidRPr="00640A8F">
        <w:rPr>
          <w:rFonts w:ascii="Times New Roman" w:eastAsia="SimSun" w:hAnsi="Times New Roman"/>
          <w:color w:val="auto"/>
          <w:kern w:val="1"/>
          <w:sz w:val="20"/>
          <w:szCs w:val="20"/>
          <w:lang w:eastAsia="hi-IN" w:bidi="hi-IN"/>
        </w:rPr>
        <w:t>. Milano</w:t>
      </w:r>
      <w:r w:rsidRPr="00640A8F">
        <w:rPr>
          <w:rFonts w:ascii="Times New Roman" w:eastAsia="SimSun" w:hAnsi="Times New Roman"/>
          <w:color w:val="auto"/>
          <w:kern w:val="1"/>
          <w:sz w:val="20"/>
          <w:szCs w:val="20"/>
          <w:lang w:bidi="hi-IN"/>
        </w:rPr>
        <w:t>: Arcipelago.</w:t>
      </w:r>
    </w:p>
    <w:p w14:paraId="1CDAAD5A" w14:textId="77777777" w:rsidR="00A8227E" w:rsidRPr="00640A8F" w:rsidRDefault="00A8227E" w:rsidP="00A8227E">
      <w:pPr>
        <w:autoSpaceDE w:val="0"/>
        <w:autoSpaceDN w:val="0"/>
        <w:adjustRightInd w:val="0"/>
        <w:spacing w:after="0" w:line="240" w:lineRule="auto"/>
        <w:ind w:left="400" w:hangingChars="200" w:hanging="400"/>
        <w:jc w:val="both"/>
        <w:rPr>
          <w:rFonts w:ascii="Times New Roman" w:hAnsi="Times New Roman"/>
          <w:color w:val="auto"/>
          <w:kern w:val="1"/>
          <w:sz w:val="20"/>
          <w:szCs w:val="20"/>
          <w:lang w:bidi="hi-IN"/>
        </w:rPr>
      </w:pPr>
      <w:r w:rsidRPr="00640A8F">
        <w:rPr>
          <w:rFonts w:ascii="Times New Roman" w:eastAsia="Calibri" w:hAnsi="Times New Roman"/>
          <w:color w:val="auto"/>
          <w:kern w:val="1"/>
          <w:sz w:val="20"/>
          <w:szCs w:val="20"/>
          <w:lang w:eastAsia="hi-IN" w:bidi="hi-IN"/>
        </w:rPr>
        <w:t>Catenaccio, Paola</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2012b. Genre-bending for consensus building: a diachronic perspective on Monsanto’s pledge reports (200</w:t>
      </w:r>
      <w:r w:rsidRPr="00640A8F">
        <w:rPr>
          <w:rFonts w:ascii="Times New Roman" w:hAnsi="Times New Roman"/>
          <w:color w:val="auto"/>
          <w:kern w:val="1"/>
          <w:sz w:val="20"/>
          <w:szCs w:val="20"/>
          <w:lang w:bidi="hi-IN"/>
        </w:rPr>
        <w:t>0</w:t>
      </w:r>
      <w:r w:rsidRPr="00640A8F">
        <w:rPr>
          <w:rFonts w:ascii="Times New Roman" w:eastAsia="Calibri" w:hAnsi="Times New Roman"/>
          <w:color w:val="auto"/>
          <w:kern w:val="1"/>
          <w:sz w:val="20"/>
          <w:szCs w:val="20"/>
          <w:lang w:eastAsia="hi-IN" w:bidi="hi-IN"/>
        </w:rPr>
        <w:t xml:space="preserve">-2009). In </w:t>
      </w:r>
      <w:r w:rsidRPr="00640A8F">
        <w:rPr>
          <w:rFonts w:ascii="Times New Roman" w:hAnsi="Times New Roman"/>
          <w:color w:val="auto"/>
          <w:kern w:val="1"/>
          <w:sz w:val="20"/>
          <w:szCs w:val="20"/>
          <w:lang w:bidi="hi-IN"/>
        </w:rPr>
        <w:t xml:space="preserve">G. E. </w:t>
      </w:r>
      <w:r w:rsidRPr="00640A8F">
        <w:rPr>
          <w:rFonts w:ascii="Times New Roman" w:eastAsia="Calibri" w:hAnsi="Times New Roman"/>
          <w:color w:val="auto"/>
          <w:kern w:val="1"/>
          <w:sz w:val="20"/>
          <w:szCs w:val="20"/>
          <w:lang w:eastAsia="hi-IN" w:bidi="hi-IN"/>
        </w:rPr>
        <w:t>Garzone</w:t>
      </w:r>
      <w:r w:rsidRPr="00640A8F">
        <w:rPr>
          <w:rFonts w:ascii="Times New Roman" w:hAnsi="Times New Roman"/>
          <w:color w:val="auto"/>
          <w:kern w:val="1"/>
          <w:sz w:val="20"/>
          <w:szCs w:val="20"/>
          <w:lang w:bidi="hi-IN"/>
        </w:rPr>
        <w:t>, P.</w:t>
      </w:r>
      <w:r w:rsidRPr="00640A8F">
        <w:rPr>
          <w:rFonts w:ascii="Times New Roman" w:eastAsia="Calibri" w:hAnsi="Times New Roman"/>
          <w:color w:val="auto"/>
          <w:kern w:val="1"/>
          <w:sz w:val="20"/>
          <w:szCs w:val="20"/>
          <w:lang w:eastAsia="hi-IN" w:bidi="hi-IN"/>
        </w:rPr>
        <w:t xml:space="preserve"> Catenaccio,</w:t>
      </w:r>
      <w:r w:rsidRPr="00640A8F">
        <w:rPr>
          <w:rFonts w:ascii="Times New Roman" w:hAnsi="Times New Roman"/>
          <w:color w:val="auto"/>
          <w:kern w:val="1"/>
          <w:sz w:val="20"/>
          <w:szCs w:val="20"/>
          <w:lang w:bidi="hi-IN"/>
        </w:rPr>
        <w:t xml:space="preserve"> and C.</w:t>
      </w:r>
      <w:r w:rsidRPr="00640A8F">
        <w:rPr>
          <w:rFonts w:ascii="Times New Roman" w:eastAsia="Calibri" w:hAnsi="Times New Roman"/>
          <w:color w:val="auto"/>
          <w:kern w:val="1"/>
          <w:sz w:val="20"/>
          <w:szCs w:val="20"/>
          <w:lang w:eastAsia="hi-IN" w:bidi="hi-IN"/>
        </w:rPr>
        <w:t xml:space="preserve"> Degano (eds.)</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w:t>
      </w:r>
      <w:r w:rsidRPr="00640A8F">
        <w:rPr>
          <w:rFonts w:ascii="Times New Roman" w:eastAsia="Calibri" w:hAnsi="Times New Roman"/>
          <w:i/>
          <w:iCs/>
          <w:color w:val="auto"/>
          <w:kern w:val="1"/>
          <w:sz w:val="20"/>
          <w:szCs w:val="20"/>
          <w:lang w:eastAsia="hi-IN" w:bidi="hi-IN"/>
        </w:rPr>
        <w:t>Genre Change in the Contemporary World</w:t>
      </w:r>
      <w:r w:rsidRPr="00640A8F">
        <w:rPr>
          <w:rFonts w:ascii="Times New Roman" w:hAnsi="Times New Roman"/>
          <w:i/>
          <w:iCs/>
          <w:color w:val="auto"/>
          <w:kern w:val="1"/>
          <w:sz w:val="20"/>
          <w:szCs w:val="20"/>
          <w:lang w:bidi="hi-IN"/>
        </w:rPr>
        <w:t>: Short-term diachronic perspectives</w:t>
      </w:r>
      <w:r w:rsidRPr="00640A8F">
        <w:rPr>
          <w:rFonts w:ascii="Times New Roman" w:eastAsia="Calibri" w:hAnsi="Times New Roman"/>
          <w:color w:val="auto"/>
          <w:kern w:val="1"/>
          <w:sz w:val="20"/>
          <w:szCs w:val="20"/>
          <w:lang w:eastAsia="hi-IN" w:bidi="hi-IN"/>
        </w:rPr>
        <w:t>. Bern: Peter Lang</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201-225. </w:t>
      </w:r>
    </w:p>
    <w:p w14:paraId="0C390774"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Cornelissen, Joep. 2004. </w:t>
      </w:r>
      <w:r w:rsidRPr="00640A8F">
        <w:rPr>
          <w:rFonts w:ascii="Times New Roman" w:hAnsi="Times New Roman"/>
          <w:i/>
          <w:color w:val="auto"/>
          <w:sz w:val="20"/>
          <w:szCs w:val="20"/>
        </w:rPr>
        <w:t>Corporate Communications, Theory and Practice.</w:t>
      </w:r>
      <w:r w:rsidRPr="00640A8F">
        <w:rPr>
          <w:rFonts w:ascii="Times New Roman" w:hAnsi="Times New Roman"/>
          <w:color w:val="auto"/>
          <w:sz w:val="20"/>
          <w:szCs w:val="20"/>
        </w:rPr>
        <w:t xml:space="preserve"> London: Sage.</w:t>
      </w:r>
    </w:p>
    <w:p w14:paraId="02DF91A3" w14:textId="77777777" w:rsidR="00A8227E" w:rsidRPr="00640A8F" w:rsidRDefault="00A8227E" w:rsidP="00A8227E">
      <w:pPr>
        <w:pStyle w:val="Predefinito1LTGliederung1"/>
        <w:spacing w:after="0"/>
        <w:ind w:left="454"/>
        <w:jc w:val="both"/>
        <w:rPr>
          <w:rFonts w:ascii="Times New Roman" w:eastAsia="Times New Roman" w:hAnsi="Times New Roman" w:cs="Times New Roman"/>
          <w:color w:val="auto"/>
          <w:sz w:val="20"/>
          <w:szCs w:val="20"/>
          <w:lang w:val="en-GB" w:eastAsia="zh-CN"/>
        </w:rPr>
      </w:pPr>
      <w:r w:rsidRPr="00640A8F">
        <w:rPr>
          <w:rFonts w:ascii="Times New Roman" w:eastAsia="Calibri" w:hAnsi="Times New Roman" w:cs="Times New Roman"/>
          <w:color w:val="auto"/>
          <w:sz w:val="20"/>
          <w:szCs w:val="20"/>
          <w:lang w:val="en-GB"/>
        </w:rPr>
        <w:t>De Groot, E</w:t>
      </w:r>
      <w:r w:rsidRPr="00640A8F">
        <w:rPr>
          <w:rFonts w:ascii="Times New Roman" w:eastAsia="Times New Roman" w:hAnsi="Times New Roman" w:cs="Times New Roman"/>
          <w:color w:val="auto"/>
          <w:sz w:val="20"/>
          <w:szCs w:val="20"/>
          <w:lang w:val="en-GB" w:eastAsia="zh-CN"/>
        </w:rPr>
        <w:t>.</w:t>
      </w:r>
      <w:r w:rsidRPr="00640A8F">
        <w:rPr>
          <w:rFonts w:ascii="Times New Roman" w:eastAsia="Calibri" w:hAnsi="Times New Roman" w:cs="Times New Roman"/>
          <w:color w:val="auto"/>
          <w:sz w:val="20"/>
          <w:szCs w:val="20"/>
          <w:lang w:val="en-GB"/>
        </w:rPr>
        <w:t xml:space="preserve"> (2008). </w:t>
      </w:r>
      <w:r w:rsidRPr="00640A8F">
        <w:rPr>
          <w:rFonts w:ascii="Times New Roman" w:eastAsia="Calibri" w:hAnsi="Times New Roman" w:cs="Times New Roman"/>
          <w:i/>
          <w:color w:val="auto"/>
          <w:sz w:val="20"/>
          <w:szCs w:val="20"/>
          <w:lang w:val="en-GB"/>
        </w:rPr>
        <w:t>English annual reports in Europe</w:t>
      </w:r>
      <w:r w:rsidRPr="00640A8F">
        <w:rPr>
          <w:rFonts w:ascii="Times New Roman" w:eastAsia="Calibri" w:hAnsi="Times New Roman" w:cs="Times New Roman"/>
          <w:color w:val="auto"/>
          <w:sz w:val="20"/>
          <w:szCs w:val="20"/>
          <w:lang w:val="en-GB"/>
        </w:rPr>
        <w:t>. Utrecht: LOT</w:t>
      </w:r>
      <w:r w:rsidRPr="00640A8F">
        <w:rPr>
          <w:rFonts w:ascii="Times New Roman" w:eastAsia="Times New Roman" w:hAnsi="Times New Roman" w:cs="Times New Roman"/>
          <w:color w:val="auto"/>
          <w:sz w:val="20"/>
          <w:szCs w:val="20"/>
          <w:lang w:val="en-GB" w:eastAsia="zh-CN"/>
        </w:rPr>
        <w:t>.</w:t>
      </w:r>
    </w:p>
    <w:p w14:paraId="55E2B8EF" w14:textId="77777777" w:rsidR="00A8227E" w:rsidRPr="00640A8F" w:rsidRDefault="00A8227E" w:rsidP="00A8227E">
      <w:pPr>
        <w:spacing w:after="0" w:line="240" w:lineRule="auto"/>
        <w:ind w:left="454"/>
        <w:jc w:val="both"/>
        <w:rPr>
          <w:rFonts w:ascii="Times New Roman" w:hAnsi="Times New Roman"/>
          <w:color w:val="auto"/>
          <w:sz w:val="20"/>
          <w:szCs w:val="20"/>
        </w:rPr>
      </w:pPr>
      <w:r w:rsidRPr="00640A8F">
        <w:rPr>
          <w:rFonts w:ascii="Times New Roman" w:hAnsi="Times New Roman"/>
          <w:color w:val="auto"/>
          <w:sz w:val="20"/>
          <w:szCs w:val="20"/>
        </w:rPr>
        <w:t xml:space="preserve">Ellerup Nielsen, A., and Thomsen, C. (2007). "Reporting CSR – what and how to say it?". </w:t>
      </w:r>
      <w:r w:rsidRPr="00640A8F">
        <w:rPr>
          <w:rFonts w:ascii="Times New Roman" w:hAnsi="Times New Roman"/>
          <w:i/>
          <w:color w:val="auto"/>
          <w:sz w:val="20"/>
          <w:szCs w:val="20"/>
        </w:rPr>
        <w:t>Corporate Communications: An International Journal</w:t>
      </w:r>
      <w:r w:rsidRPr="00640A8F">
        <w:rPr>
          <w:rFonts w:ascii="Times New Roman" w:hAnsi="Times New Roman"/>
          <w:color w:val="auto"/>
          <w:sz w:val="20"/>
          <w:szCs w:val="20"/>
        </w:rPr>
        <w:t xml:space="preserve"> 12 (1). 25-40</w:t>
      </w:r>
    </w:p>
    <w:p w14:paraId="75DD94CC" w14:textId="77777777" w:rsidR="00A8227E" w:rsidRPr="00640A8F" w:rsidRDefault="00A8227E" w:rsidP="00A8227E">
      <w:pPr>
        <w:spacing w:after="0" w:line="240" w:lineRule="auto"/>
        <w:ind w:left="400" w:hangingChars="200" w:hanging="400"/>
        <w:jc w:val="both"/>
        <w:rPr>
          <w:rFonts w:ascii="Times New Roman" w:eastAsia="SimSun" w:hAnsi="Times New Roman"/>
          <w:color w:val="auto"/>
          <w:kern w:val="1"/>
          <w:sz w:val="20"/>
          <w:szCs w:val="20"/>
          <w:lang w:bidi="hi-IN"/>
        </w:rPr>
      </w:pPr>
      <w:r w:rsidRPr="00640A8F">
        <w:rPr>
          <w:rFonts w:ascii="Times New Roman" w:eastAsia="SimSun" w:hAnsi="Times New Roman"/>
          <w:color w:val="auto"/>
          <w:kern w:val="1"/>
          <w:sz w:val="20"/>
          <w:szCs w:val="20"/>
          <w:lang w:bidi="hi-IN"/>
        </w:rPr>
        <w:t xml:space="preserve">Fuoli, Matteo. 2012. Assessing Social responsibility: A quantitative analysis of Appraisal in BP’s and IKEA’s social report. </w:t>
      </w:r>
      <w:r w:rsidRPr="00640A8F">
        <w:rPr>
          <w:rFonts w:ascii="Times New Roman" w:eastAsia="SimSun" w:hAnsi="Times New Roman"/>
          <w:i/>
          <w:color w:val="auto"/>
          <w:kern w:val="1"/>
          <w:sz w:val="20"/>
          <w:szCs w:val="20"/>
          <w:lang w:bidi="hi-IN"/>
        </w:rPr>
        <w:t>Discourse and Communication</w:t>
      </w:r>
      <w:r w:rsidRPr="00640A8F">
        <w:rPr>
          <w:rFonts w:ascii="Times New Roman" w:eastAsia="SimSun" w:hAnsi="Times New Roman"/>
          <w:color w:val="auto"/>
          <w:kern w:val="1"/>
          <w:sz w:val="20"/>
          <w:szCs w:val="20"/>
          <w:lang w:bidi="hi-IN"/>
        </w:rPr>
        <w:t xml:space="preserve"> 6(1). 55-81.</w:t>
      </w:r>
    </w:p>
    <w:p w14:paraId="50A23D23" w14:textId="77777777" w:rsidR="00A8227E" w:rsidRPr="00640A8F" w:rsidRDefault="00A8227E" w:rsidP="00A8227E">
      <w:pPr>
        <w:autoSpaceDE w:val="0"/>
        <w:spacing w:after="0" w:line="240" w:lineRule="auto"/>
        <w:ind w:left="400" w:hangingChars="200" w:hanging="400"/>
        <w:jc w:val="both"/>
        <w:rPr>
          <w:rFonts w:ascii="Times New Roman" w:hAnsi="Times New Roman"/>
          <w:color w:val="auto"/>
          <w:kern w:val="1"/>
          <w:sz w:val="20"/>
          <w:szCs w:val="20"/>
          <w:lang w:bidi="hi-IN"/>
        </w:rPr>
      </w:pPr>
      <w:r w:rsidRPr="00640A8F">
        <w:rPr>
          <w:rFonts w:ascii="Times New Roman" w:eastAsia="Calibri" w:hAnsi="Times New Roman"/>
          <w:color w:val="auto"/>
          <w:kern w:val="1"/>
          <w:sz w:val="20"/>
          <w:szCs w:val="20"/>
          <w:lang w:eastAsia="hi-IN" w:bidi="hi-IN"/>
        </w:rPr>
        <w:t>Fuoli, Matteo</w:t>
      </w:r>
      <w:r w:rsidRPr="00640A8F">
        <w:rPr>
          <w:rFonts w:ascii="Times New Roman" w:hAnsi="Times New Roman"/>
          <w:color w:val="auto"/>
          <w:kern w:val="1"/>
          <w:sz w:val="20"/>
          <w:szCs w:val="20"/>
          <w:lang w:bidi="hi-IN"/>
        </w:rPr>
        <w:t xml:space="preserve">, and </w:t>
      </w:r>
      <w:r w:rsidRPr="00640A8F">
        <w:rPr>
          <w:rFonts w:ascii="Times New Roman" w:eastAsia="Calibri" w:hAnsi="Times New Roman"/>
          <w:color w:val="auto"/>
          <w:kern w:val="1"/>
          <w:sz w:val="20"/>
          <w:szCs w:val="20"/>
          <w:lang w:eastAsia="hi-IN" w:bidi="hi-IN"/>
        </w:rPr>
        <w:t>Paradis, Carita</w:t>
      </w:r>
      <w:r w:rsidRPr="00640A8F">
        <w:rPr>
          <w:rFonts w:ascii="Times New Roman" w:hAnsi="Times New Roman"/>
          <w:color w:val="auto"/>
          <w:kern w:val="1"/>
          <w:sz w:val="20"/>
          <w:szCs w:val="20"/>
          <w:lang w:bidi="hi-IN"/>
        </w:rPr>
        <w:t xml:space="preserve">. </w:t>
      </w:r>
      <w:r w:rsidRPr="00640A8F">
        <w:rPr>
          <w:rFonts w:ascii="Times New Roman" w:eastAsia="Calibri" w:hAnsi="Times New Roman"/>
          <w:color w:val="auto"/>
          <w:kern w:val="1"/>
          <w:sz w:val="20"/>
          <w:szCs w:val="20"/>
          <w:lang w:eastAsia="hi-IN" w:bidi="hi-IN"/>
        </w:rPr>
        <w:t xml:space="preserve">2014. A model of trust-repair discourse. </w:t>
      </w:r>
      <w:r w:rsidRPr="00640A8F">
        <w:rPr>
          <w:rFonts w:ascii="Times New Roman" w:eastAsia="Calibri" w:hAnsi="Times New Roman"/>
          <w:i/>
          <w:iCs/>
          <w:color w:val="auto"/>
          <w:kern w:val="1"/>
          <w:sz w:val="20"/>
          <w:szCs w:val="20"/>
          <w:lang w:eastAsia="hi-IN" w:bidi="hi-IN"/>
        </w:rPr>
        <w:t>Journal of Pragmatics</w:t>
      </w:r>
      <w:r w:rsidRPr="00640A8F">
        <w:rPr>
          <w:rFonts w:ascii="Times New Roman" w:eastAsia="Calibri" w:hAnsi="Times New Roman"/>
          <w:color w:val="auto"/>
          <w:kern w:val="1"/>
          <w:sz w:val="20"/>
          <w:szCs w:val="20"/>
          <w:lang w:eastAsia="hi-IN" w:bidi="hi-IN"/>
        </w:rPr>
        <w:t xml:space="preserve"> 74</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52-69.</w:t>
      </w:r>
    </w:p>
    <w:p w14:paraId="7B103842"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Kuznetsov, Andreji and Kuznetsova, Olga. 2008. Gaining competitiveness through trust: the experience of Russia”. </w:t>
      </w:r>
      <w:r w:rsidRPr="00640A8F">
        <w:rPr>
          <w:rFonts w:ascii="Times New Roman" w:hAnsi="Times New Roman"/>
          <w:i/>
          <w:color w:val="auto"/>
          <w:sz w:val="20"/>
          <w:szCs w:val="20"/>
        </w:rPr>
        <w:t xml:space="preserve">European Journal of International Management </w:t>
      </w:r>
      <w:r w:rsidRPr="00640A8F">
        <w:rPr>
          <w:rFonts w:ascii="Times New Roman" w:hAnsi="Times New Roman"/>
          <w:color w:val="auto"/>
          <w:sz w:val="20"/>
          <w:szCs w:val="20"/>
        </w:rPr>
        <w:t>2(1). 22-38.</w:t>
      </w:r>
    </w:p>
    <w:p w14:paraId="384B464C" w14:textId="77777777" w:rsidR="00A8227E" w:rsidRPr="00640A8F" w:rsidRDefault="00A8227E" w:rsidP="00A8227E">
      <w:pPr>
        <w:spacing w:after="0" w:line="240" w:lineRule="auto"/>
        <w:ind w:left="400" w:hangingChars="200" w:hanging="400"/>
        <w:jc w:val="both"/>
        <w:rPr>
          <w:rStyle w:val="fontstyle01"/>
          <w:rFonts w:ascii="Times New Roman" w:hAnsi="Times New Roman"/>
          <w:color w:val="auto"/>
        </w:rPr>
      </w:pPr>
      <w:r w:rsidRPr="00640A8F">
        <w:rPr>
          <w:rStyle w:val="fontstyle01"/>
          <w:rFonts w:ascii="Times New Roman" w:hAnsi="Times New Roman"/>
          <w:color w:val="auto"/>
        </w:rPr>
        <w:t xml:space="preserve">Kress, Gunther. 2010. </w:t>
      </w:r>
      <w:r w:rsidRPr="00640A8F">
        <w:rPr>
          <w:rStyle w:val="fontstyle01"/>
          <w:rFonts w:ascii="Times New Roman" w:hAnsi="Times New Roman"/>
          <w:i/>
          <w:color w:val="auto"/>
        </w:rPr>
        <w:t>Multimodality: A Social Semiotic Approach to Contemporary Communication</w:t>
      </w:r>
      <w:r w:rsidRPr="00640A8F">
        <w:rPr>
          <w:rStyle w:val="fontstyle01"/>
          <w:rFonts w:ascii="Times New Roman" w:hAnsi="Times New Roman"/>
          <w:color w:val="auto"/>
        </w:rPr>
        <w:t>. London/New York: Routledge.</w:t>
      </w:r>
    </w:p>
    <w:p w14:paraId="3AD49113" w14:textId="77777777" w:rsidR="00A8227E" w:rsidRPr="00640A8F" w:rsidRDefault="00A8227E" w:rsidP="00A8227E">
      <w:pPr>
        <w:spacing w:after="0" w:line="240" w:lineRule="auto"/>
        <w:ind w:left="400" w:hangingChars="200" w:hanging="400"/>
        <w:jc w:val="both"/>
        <w:rPr>
          <w:rStyle w:val="fontstyle01"/>
          <w:rFonts w:ascii="Times New Roman" w:hAnsi="Times New Roman"/>
          <w:color w:val="auto"/>
        </w:rPr>
      </w:pPr>
      <w:r w:rsidRPr="00640A8F">
        <w:rPr>
          <w:rStyle w:val="fontstyle01"/>
          <w:rFonts w:ascii="Times New Roman" w:hAnsi="Times New Roman"/>
          <w:color w:val="auto"/>
        </w:rPr>
        <w:lastRenderedPageBreak/>
        <w:t xml:space="preserve">Kress, Gunther. and Van Leeuwen, Theo. 2001 </w:t>
      </w:r>
      <w:r w:rsidRPr="00640A8F">
        <w:rPr>
          <w:rStyle w:val="fontstyle21"/>
          <w:rFonts w:ascii="Times New Roman" w:hAnsi="Times New Roman"/>
          <w:color w:val="auto"/>
        </w:rPr>
        <w:t>Multimodal Discourse – The Modes and</w:t>
      </w:r>
      <w:r w:rsidRPr="00640A8F">
        <w:rPr>
          <w:rFonts w:ascii="Times New Roman" w:hAnsi="Times New Roman"/>
          <w:i/>
          <w:iCs/>
          <w:color w:val="auto"/>
          <w:sz w:val="20"/>
          <w:szCs w:val="20"/>
        </w:rPr>
        <w:t xml:space="preserve"> </w:t>
      </w:r>
      <w:r w:rsidRPr="00640A8F">
        <w:rPr>
          <w:rStyle w:val="fontstyle21"/>
          <w:rFonts w:ascii="Times New Roman" w:hAnsi="Times New Roman"/>
          <w:color w:val="auto"/>
        </w:rPr>
        <w:t>Media of Contemporary Communication</w:t>
      </w:r>
      <w:r w:rsidRPr="00640A8F">
        <w:rPr>
          <w:rStyle w:val="fontstyle01"/>
          <w:rFonts w:ascii="Times New Roman" w:hAnsi="Times New Roman"/>
          <w:color w:val="auto"/>
        </w:rPr>
        <w:t>. London: Arnold.</w:t>
      </w:r>
    </w:p>
    <w:p w14:paraId="07CE59FA" w14:textId="77777777" w:rsidR="00A8227E" w:rsidRPr="00640A8F" w:rsidRDefault="00A8227E" w:rsidP="00A8227E">
      <w:pPr>
        <w:spacing w:after="0" w:line="240" w:lineRule="auto"/>
        <w:jc w:val="both"/>
        <w:rPr>
          <w:rFonts w:ascii="Times New Roman" w:hAnsi="Times New Roman"/>
          <w:color w:val="auto"/>
          <w:sz w:val="20"/>
          <w:szCs w:val="20"/>
          <w:shd w:val="clear" w:color="auto" w:fill="FFFFFF"/>
        </w:rPr>
      </w:pPr>
      <w:r w:rsidRPr="00640A8F">
        <w:rPr>
          <w:rFonts w:ascii="Times New Roman" w:hAnsi="Times New Roman"/>
          <w:color w:val="auto"/>
          <w:sz w:val="20"/>
          <w:szCs w:val="20"/>
          <w:shd w:val="clear" w:color="auto" w:fill="FFFFFF"/>
        </w:rPr>
        <w:t>Lemke, Jay. L. 2002. Travels in hypermodality.</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i/>
          <w:iCs/>
          <w:color w:val="auto"/>
          <w:sz w:val="20"/>
          <w:szCs w:val="20"/>
          <w:shd w:val="clear" w:color="auto" w:fill="FFFFFF"/>
        </w:rPr>
        <w:t>Visual communication</w:t>
      </w:r>
      <w:r w:rsidRPr="00640A8F">
        <w:rPr>
          <w:rFonts w:ascii="Times New Roman" w:hAnsi="Times New Roman"/>
          <w:color w:val="auto"/>
          <w:sz w:val="20"/>
          <w:szCs w:val="20"/>
          <w:shd w:val="clear" w:color="auto" w:fill="FFFFFF"/>
        </w:rPr>
        <w:t>,</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i/>
          <w:iCs/>
          <w:color w:val="auto"/>
          <w:sz w:val="20"/>
          <w:szCs w:val="20"/>
          <w:shd w:val="clear" w:color="auto" w:fill="FFFFFF"/>
        </w:rPr>
        <w:t>1</w:t>
      </w:r>
      <w:r w:rsidRPr="00640A8F">
        <w:rPr>
          <w:rFonts w:ascii="Times New Roman" w:hAnsi="Times New Roman"/>
          <w:color w:val="auto"/>
          <w:sz w:val="20"/>
          <w:szCs w:val="20"/>
          <w:shd w:val="clear" w:color="auto" w:fill="FFFFFF"/>
        </w:rPr>
        <w:t>(3), 299-325</w:t>
      </w:r>
    </w:p>
    <w:p w14:paraId="125E77A8" w14:textId="77777777" w:rsidR="00A8227E" w:rsidRPr="00640A8F" w:rsidRDefault="00A8227E" w:rsidP="00A8227E">
      <w:pPr>
        <w:spacing w:after="0" w:line="240" w:lineRule="auto"/>
        <w:ind w:left="426" w:hanging="426"/>
        <w:jc w:val="both"/>
        <w:rPr>
          <w:rFonts w:ascii="Times New Roman" w:hAnsi="Times New Roman"/>
          <w:color w:val="auto"/>
          <w:sz w:val="20"/>
          <w:szCs w:val="20"/>
        </w:rPr>
      </w:pPr>
      <w:r w:rsidRPr="00640A8F">
        <w:rPr>
          <w:rFonts w:ascii="Times New Roman" w:hAnsi="Times New Roman"/>
          <w:color w:val="auto"/>
          <w:kern w:val="1"/>
          <w:sz w:val="20"/>
          <w:szCs w:val="20"/>
          <w:lang w:eastAsia="it-IT" w:bidi="hi-IN"/>
        </w:rPr>
        <w:t>Malavasi, Donatella. 2005</w:t>
      </w:r>
      <w:r w:rsidRPr="00640A8F">
        <w:rPr>
          <w:rFonts w:ascii="Times New Roman" w:hAnsi="Times New Roman"/>
          <w:color w:val="auto"/>
          <w:kern w:val="1"/>
          <w:sz w:val="20"/>
          <w:szCs w:val="20"/>
          <w:lang w:bidi="hi-IN"/>
        </w:rPr>
        <w:t>.</w:t>
      </w:r>
      <w:r w:rsidRPr="00640A8F">
        <w:rPr>
          <w:rFonts w:ascii="Times New Roman" w:hAnsi="Times New Roman"/>
          <w:color w:val="auto"/>
          <w:kern w:val="1"/>
          <w:sz w:val="20"/>
          <w:szCs w:val="20"/>
          <w:lang w:eastAsia="it-IT" w:bidi="hi-IN"/>
        </w:rPr>
        <w:t xml:space="preserve"> Banks’ Annual Reports: An </w:t>
      </w:r>
      <w:r w:rsidRPr="00640A8F">
        <w:rPr>
          <w:rFonts w:ascii="Times New Roman" w:hAnsi="Times New Roman"/>
          <w:color w:val="auto"/>
          <w:kern w:val="1"/>
          <w:sz w:val="20"/>
          <w:szCs w:val="20"/>
          <w:lang w:bidi="hi-IN"/>
        </w:rPr>
        <w:t>a</w:t>
      </w:r>
      <w:r w:rsidRPr="00640A8F">
        <w:rPr>
          <w:rFonts w:ascii="Times New Roman" w:hAnsi="Times New Roman"/>
          <w:color w:val="auto"/>
          <w:kern w:val="1"/>
          <w:sz w:val="20"/>
          <w:szCs w:val="20"/>
          <w:lang w:eastAsia="it-IT" w:bidi="hi-IN"/>
        </w:rPr>
        <w:t xml:space="preserve">nalysis of the </w:t>
      </w:r>
      <w:r w:rsidRPr="00640A8F">
        <w:rPr>
          <w:rFonts w:ascii="Times New Roman" w:hAnsi="Times New Roman"/>
          <w:color w:val="auto"/>
          <w:kern w:val="1"/>
          <w:sz w:val="20"/>
          <w:szCs w:val="20"/>
          <w:lang w:bidi="hi-IN"/>
        </w:rPr>
        <w:t>l</w:t>
      </w:r>
      <w:r w:rsidRPr="00640A8F">
        <w:rPr>
          <w:rFonts w:ascii="Times New Roman" w:hAnsi="Times New Roman"/>
          <w:color w:val="auto"/>
          <w:kern w:val="1"/>
          <w:sz w:val="20"/>
          <w:szCs w:val="20"/>
          <w:lang w:eastAsia="it-IT" w:bidi="hi-IN"/>
        </w:rPr>
        <w:t xml:space="preserve">inguistic </w:t>
      </w:r>
      <w:r w:rsidRPr="00640A8F">
        <w:rPr>
          <w:rFonts w:ascii="Times New Roman" w:hAnsi="Times New Roman"/>
          <w:color w:val="auto"/>
          <w:kern w:val="1"/>
          <w:sz w:val="20"/>
          <w:szCs w:val="20"/>
          <w:lang w:bidi="hi-IN"/>
        </w:rPr>
        <w:t>m</w:t>
      </w:r>
      <w:r w:rsidRPr="00640A8F">
        <w:rPr>
          <w:rFonts w:ascii="Times New Roman" w:hAnsi="Times New Roman"/>
          <w:color w:val="auto"/>
          <w:kern w:val="1"/>
          <w:sz w:val="20"/>
          <w:szCs w:val="20"/>
          <w:lang w:eastAsia="it-IT" w:bidi="hi-IN"/>
        </w:rPr>
        <w:t xml:space="preserve">eans used to </w:t>
      </w:r>
      <w:r w:rsidRPr="00640A8F">
        <w:rPr>
          <w:rFonts w:ascii="Times New Roman" w:hAnsi="Times New Roman"/>
          <w:color w:val="auto"/>
          <w:kern w:val="1"/>
          <w:sz w:val="20"/>
          <w:szCs w:val="20"/>
          <w:lang w:bidi="hi-IN"/>
        </w:rPr>
        <w:t>e</w:t>
      </w:r>
      <w:r w:rsidRPr="00640A8F">
        <w:rPr>
          <w:rFonts w:ascii="Times New Roman" w:hAnsi="Times New Roman"/>
          <w:color w:val="auto"/>
          <w:kern w:val="1"/>
          <w:sz w:val="20"/>
          <w:szCs w:val="20"/>
          <w:lang w:eastAsia="it-IT" w:bidi="hi-IN"/>
        </w:rPr>
        <w:t xml:space="preserve">xpress Evaluation. In A. M. Bülow-Møller (ed.), </w:t>
      </w:r>
      <w:r w:rsidRPr="00640A8F">
        <w:rPr>
          <w:rFonts w:ascii="Times New Roman" w:hAnsi="Times New Roman"/>
          <w:i/>
          <w:color w:val="auto"/>
          <w:kern w:val="1"/>
          <w:sz w:val="20"/>
          <w:szCs w:val="20"/>
          <w:lang w:eastAsia="it-IT" w:bidi="hi-IN"/>
        </w:rPr>
        <w:t>Proceedings of the Association for Business Communication 7</w:t>
      </w:r>
      <w:r w:rsidRPr="00640A8F">
        <w:rPr>
          <w:rFonts w:ascii="Times New Roman" w:hAnsi="Times New Roman"/>
          <w:i/>
          <w:color w:val="auto"/>
          <w:kern w:val="1"/>
          <w:sz w:val="20"/>
          <w:szCs w:val="20"/>
          <w:vertAlign w:val="superscript"/>
          <w:lang w:eastAsia="it-IT" w:bidi="hi-IN"/>
        </w:rPr>
        <w:t>th</w:t>
      </w:r>
      <w:r w:rsidRPr="00640A8F">
        <w:rPr>
          <w:rFonts w:ascii="Times New Roman" w:hAnsi="Times New Roman"/>
          <w:i/>
          <w:color w:val="auto"/>
          <w:kern w:val="1"/>
          <w:sz w:val="20"/>
          <w:szCs w:val="20"/>
          <w:lang w:eastAsia="it-IT" w:bidi="hi-IN"/>
        </w:rPr>
        <w:t xml:space="preserve"> European Convention</w:t>
      </w:r>
      <w:r w:rsidRPr="00640A8F">
        <w:rPr>
          <w:rFonts w:ascii="Times New Roman" w:hAnsi="Times New Roman"/>
          <w:color w:val="auto"/>
          <w:kern w:val="1"/>
          <w:sz w:val="20"/>
          <w:szCs w:val="20"/>
          <w:lang w:eastAsia="it-IT" w:bidi="hi-IN"/>
        </w:rPr>
        <w:t>. Nacogdoches, Texas: The Association for Business Communication.</w:t>
      </w:r>
    </w:p>
    <w:p w14:paraId="4D212579" w14:textId="77777777" w:rsidR="00A8227E" w:rsidRPr="00640A8F" w:rsidRDefault="00A8227E" w:rsidP="00A8227E">
      <w:pPr>
        <w:autoSpaceDE w:val="0"/>
        <w:autoSpaceDN w:val="0"/>
        <w:adjustRightInd w:val="0"/>
        <w:spacing w:after="0" w:line="240" w:lineRule="auto"/>
        <w:ind w:left="400" w:hangingChars="200" w:hanging="400"/>
        <w:jc w:val="both"/>
        <w:rPr>
          <w:rFonts w:ascii="Times New Roman" w:hAnsi="Times New Roman"/>
          <w:color w:val="auto"/>
          <w:sz w:val="20"/>
          <w:szCs w:val="20"/>
          <w:lang w:eastAsia="it-IT"/>
        </w:rPr>
      </w:pPr>
      <w:r w:rsidRPr="00640A8F">
        <w:rPr>
          <w:rFonts w:ascii="Times New Roman" w:hAnsi="Times New Roman"/>
          <w:color w:val="auto"/>
          <w:sz w:val="20"/>
          <w:szCs w:val="20"/>
          <w:lang w:eastAsia="it-IT"/>
        </w:rPr>
        <w:t xml:space="preserve">Malavasi, Donatella. 2011. </w:t>
      </w:r>
      <w:r w:rsidRPr="00640A8F">
        <w:rPr>
          <w:rFonts w:ascii="Times New Roman" w:hAnsi="Times New Roman"/>
          <w:color w:val="auto"/>
          <w:sz w:val="20"/>
          <w:szCs w:val="20"/>
        </w:rPr>
        <w:t>“</w:t>
      </w:r>
      <w:r w:rsidRPr="00640A8F">
        <w:rPr>
          <w:rFonts w:ascii="Times New Roman" w:hAnsi="Times New Roman"/>
          <w:iCs/>
          <w:color w:val="auto"/>
          <w:sz w:val="20"/>
          <w:szCs w:val="20"/>
          <w:lang w:eastAsia="it-IT"/>
        </w:rPr>
        <w:t>Doing Well by Doing Good</w:t>
      </w:r>
      <w:r w:rsidRPr="00640A8F">
        <w:rPr>
          <w:rFonts w:ascii="Times New Roman" w:hAnsi="Times New Roman"/>
          <w:iCs/>
          <w:color w:val="auto"/>
          <w:sz w:val="20"/>
          <w:szCs w:val="20"/>
        </w:rPr>
        <w:t>”</w:t>
      </w:r>
      <w:r w:rsidRPr="00640A8F">
        <w:rPr>
          <w:rFonts w:ascii="Times New Roman" w:hAnsi="Times New Roman"/>
          <w:iCs/>
          <w:color w:val="auto"/>
          <w:sz w:val="20"/>
          <w:szCs w:val="20"/>
          <w:lang w:eastAsia="it-IT"/>
        </w:rPr>
        <w:t>: A Comparative Analysis of Nokia’s and Ericsson’s Corporate Social Responsibility Reports.</w:t>
      </w:r>
      <w:r w:rsidRPr="00640A8F">
        <w:rPr>
          <w:rFonts w:ascii="Times New Roman" w:hAnsi="Times New Roman"/>
          <w:iCs/>
          <w:color w:val="auto"/>
          <w:sz w:val="20"/>
          <w:szCs w:val="20"/>
        </w:rPr>
        <w:t xml:space="preserve"> In G. E. Garzone, and M. Gotti (eds.),</w:t>
      </w:r>
      <w:r w:rsidRPr="00640A8F">
        <w:rPr>
          <w:rFonts w:ascii="Times New Roman" w:hAnsi="Times New Roman"/>
          <w:i/>
          <w:iCs/>
          <w:color w:val="auto"/>
          <w:sz w:val="20"/>
          <w:szCs w:val="20"/>
          <w:lang w:eastAsia="it-IT"/>
        </w:rPr>
        <w:t xml:space="preserve"> Discourse, Communication and the Enterprise. Genres and Trends</w:t>
      </w:r>
      <w:r w:rsidRPr="00640A8F">
        <w:rPr>
          <w:rFonts w:ascii="Times New Roman" w:hAnsi="Times New Roman"/>
          <w:color w:val="auto"/>
          <w:sz w:val="20"/>
          <w:szCs w:val="20"/>
        </w:rPr>
        <w:t xml:space="preserve">. </w:t>
      </w:r>
      <w:r w:rsidRPr="00640A8F">
        <w:rPr>
          <w:rFonts w:ascii="Times New Roman" w:hAnsi="Times New Roman"/>
          <w:color w:val="auto"/>
          <w:sz w:val="20"/>
          <w:szCs w:val="20"/>
          <w:lang w:eastAsia="it-IT"/>
        </w:rPr>
        <w:t>Bern: Peter Lang. 193–212.</w:t>
      </w:r>
    </w:p>
    <w:p w14:paraId="0BA76AB4" w14:textId="77777777" w:rsidR="00A8227E" w:rsidRPr="00640A8F" w:rsidRDefault="00A8227E" w:rsidP="00A8227E">
      <w:pPr>
        <w:autoSpaceDE w:val="0"/>
        <w:autoSpaceDN w:val="0"/>
        <w:adjustRightInd w:val="0"/>
        <w:spacing w:after="0" w:line="240" w:lineRule="auto"/>
        <w:ind w:left="400" w:hangingChars="200" w:hanging="400"/>
        <w:jc w:val="both"/>
        <w:rPr>
          <w:rFonts w:ascii="Times New Roman" w:hAnsi="Times New Roman"/>
          <w:color w:val="auto"/>
          <w:sz w:val="20"/>
          <w:szCs w:val="20"/>
          <w:lang w:eastAsia="it-IT"/>
        </w:rPr>
      </w:pPr>
      <w:r w:rsidRPr="00640A8F">
        <w:rPr>
          <w:rFonts w:ascii="Times New Roman" w:hAnsi="Times New Roman"/>
          <w:color w:val="auto"/>
          <w:sz w:val="20"/>
          <w:szCs w:val="20"/>
          <w:lang w:eastAsia="it-IT"/>
        </w:rPr>
        <w:t>Malavasi, D</w:t>
      </w:r>
      <w:r w:rsidRPr="00640A8F">
        <w:rPr>
          <w:rFonts w:ascii="Times New Roman" w:hAnsi="Times New Roman"/>
          <w:color w:val="auto"/>
          <w:sz w:val="20"/>
          <w:szCs w:val="20"/>
        </w:rPr>
        <w:t xml:space="preserve">onatella </w:t>
      </w:r>
      <w:r w:rsidRPr="00640A8F">
        <w:rPr>
          <w:rFonts w:ascii="Times New Roman" w:hAnsi="Times New Roman"/>
          <w:color w:val="auto"/>
          <w:sz w:val="20"/>
          <w:szCs w:val="20"/>
          <w:lang w:eastAsia="it-IT"/>
        </w:rPr>
        <w:t>2012. “The necessary balance between sustainability and economic success</w:t>
      </w:r>
      <w:r w:rsidRPr="00640A8F">
        <w:rPr>
          <w:rFonts w:ascii="Times New Roman" w:hAnsi="Times New Roman"/>
          <w:color w:val="auto"/>
          <w:sz w:val="20"/>
          <w:szCs w:val="20"/>
        </w:rPr>
        <w:t>”</w:t>
      </w:r>
      <w:r w:rsidRPr="00640A8F">
        <w:rPr>
          <w:rFonts w:ascii="Times New Roman" w:hAnsi="Times New Roman"/>
          <w:color w:val="auto"/>
          <w:sz w:val="20"/>
          <w:szCs w:val="20"/>
          <w:lang w:eastAsia="it-IT"/>
        </w:rPr>
        <w:t xml:space="preserve">: an analysis of Fiat’s and Toyota’s Corporate Social Responsibility </w:t>
      </w:r>
      <w:r w:rsidRPr="00640A8F">
        <w:rPr>
          <w:rFonts w:ascii="Times New Roman" w:hAnsi="Times New Roman"/>
          <w:color w:val="auto"/>
          <w:sz w:val="20"/>
          <w:szCs w:val="20"/>
        </w:rPr>
        <w:t>r</w:t>
      </w:r>
      <w:r w:rsidRPr="00640A8F">
        <w:rPr>
          <w:rFonts w:ascii="Times New Roman" w:hAnsi="Times New Roman"/>
          <w:color w:val="auto"/>
          <w:sz w:val="20"/>
          <w:szCs w:val="20"/>
          <w:lang w:eastAsia="it-IT"/>
        </w:rPr>
        <w:t xml:space="preserve">eports. In P. Heynderickx, S. Dieltjens, G. Jacobs, P. Gillaerts, </w:t>
      </w:r>
      <w:r w:rsidRPr="00640A8F">
        <w:rPr>
          <w:rFonts w:ascii="Times New Roman" w:hAnsi="Times New Roman"/>
          <w:color w:val="auto"/>
          <w:sz w:val="20"/>
          <w:szCs w:val="20"/>
        </w:rPr>
        <w:t>and</w:t>
      </w:r>
      <w:r w:rsidRPr="00640A8F">
        <w:rPr>
          <w:rFonts w:ascii="Times New Roman" w:hAnsi="Times New Roman"/>
          <w:color w:val="auto"/>
          <w:sz w:val="20"/>
          <w:szCs w:val="20"/>
          <w:lang w:eastAsia="it-IT"/>
        </w:rPr>
        <w:t xml:space="preserve"> E. de Groot</w:t>
      </w:r>
      <w:r w:rsidRPr="00640A8F">
        <w:rPr>
          <w:rFonts w:ascii="Times New Roman" w:hAnsi="Times New Roman"/>
          <w:color w:val="auto"/>
          <w:sz w:val="20"/>
          <w:szCs w:val="20"/>
        </w:rPr>
        <w:t xml:space="preserve"> (eds.),</w:t>
      </w:r>
      <w:r w:rsidRPr="00640A8F">
        <w:rPr>
          <w:rFonts w:ascii="Times New Roman" w:hAnsi="Times New Roman"/>
          <w:color w:val="auto"/>
          <w:sz w:val="20"/>
          <w:szCs w:val="20"/>
          <w:lang w:eastAsia="it-IT"/>
        </w:rPr>
        <w:t xml:space="preserve"> </w:t>
      </w:r>
      <w:r w:rsidRPr="00640A8F">
        <w:rPr>
          <w:rFonts w:ascii="Times New Roman" w:hAnsi="Times New Roman"/>
          <w:i/>
          <w:iCs/>
          <w:color w:val="auto"/>
          <w:sz w:val="20"/>
          <w:szCs w:val="20"/>
          <w:lang w:eastAsia="it-IT"/>
        </w:rPr>
        <w:t xml:space="preserve">The Language </w:t>
      </w:r>
      <w:r w:rsidRPr="00640A8F">
        <w:rPr>
          <w:rFonts w:ascii="Times New Roman" w:hAnsi="Times New Roman"/>
          <w:i/>
          <w:iCs/>
          <w:color w:val="auto"/>
          <w:sz w:val="20"/>
          <w:szCs w:val="20"/>
        </w:rPr>
        <w:t>f</w:t>
      </w:r>
      <w:r w:rsidRPr="00640A8F">
        <w:rPr>
          <w:rFonts w:ascii="Times New Roman" w:hAnsi="Times New Roman"/>
          <w:i/>
          <w:iCs/>
          <w:color w:val="auto"/>
          <w:sz w:val="20"/>
          <w:szCs w:val="20"/>
          <w:lang w:eastAsia="it-IT"/>
        </w:rPr>
        <w:t xml:space="preserve">actor in International </w:t>
      </w:r>
      <w:r w:rsidRPr="00640A8F">
        <w:rPr>
          <w:rFonts w:ascii="Times New Roman" w:hAnsi="Times New Roman"/>
          <w:i/>
          <w:iCs/>
          <w:color w:val="auto"/>
          <w:sz w:val="20"/>
          <w:szCs w:val="20"/>
        </w:rPr>
        <w:t>b</w:t>
      </w:r>
      <w:r w:rsidRPr="00640A8F">
        <w:rPr>
          <w:rFonts w:ascii="Times New Roman" w:hAnsi="Times New Roman"/>
          <w:i/>
          <w:iCs/>
          <w:color w:val="auto"/>
          <w:sz w:val="20"/>
          <w:szCs w:val="20"/>
          <w:lang w:eastAsia="it-IT"/>
        </w:rPr>
        <w:t xml:space="preserve">usiness. New </w:t>
      </w:r>
      <w:r w:rsidRPr="00640A8F">
        <w:rPr>
          <w:rFonts w:ascii="Times New Roman" w:hAnsi="Times New Roman"/>
          <w:i/>
          <w:iCs/>
          <w:color w:val="auto"/>
          <w:sz w:val="20"/>
          <w:szCs w:val="20"/>
        </w:rPr>
        <w:t>p</w:t>
      </w:r>
      <w:r w:rsidRPr="00640A8F">
        <w:rPr>
          <w:rFonts w:ascii="Times New Roman" w:hAnsi="Times New Roman"/>
          <w:i/>
          <w:iCs/>
          <w:color w:val="auto"/>
          <w:sz w:val="20"/>
          <w:szCs w:val="20"/>
          <w:lang w:eastAsia="it-IT"/>
        </w:rPr>
        <w:t xml:space="preserve">erspectives on </w:t>
      </w:r>
      <w:r w:rsidRPr="00640A8F">
        <w:rPr>
          <w:rFonts w:ascii="Times New Roman" w:hAnsi="Times New Roman"/>
          <w:i/>
          <w:iCs/>
          <w:color w:val="auto"/>
          <w:sz w:val="20"/>
          <w:szCs w:val="20"/>
        </w:rPr>
        <w:t>r</w:t>
      </w:r>
      <w:r w:rsidRPr="00640A8F">
        <w:rPr>
          <w:rFonts w:ascii="Times New Roman" w:hAnsi="Times New Roman"/>
          <w:i/>
          <w:iCs/>
          <w:color w:val="auto"/>
          <w:sz w:val="20"/>
          <w:szCs w:val="20"/>
          <w:lang w:eastAsia="it-IT"/>
        </w:rPr>
        <w:t xml:space="preserve">esearch, </w:t>
      </w:r>
      <w:r w:rsidRPr="00640A8F">
        <w:rPr>
          <w:rFonts w:ascii="Times New Roman" w:hAnsi="Times New Roman"/>
          <w:i/>
          <w:iCs/>
          <w:color w:val="auto"/>
          <w:sz w:val="20"/>
          <w:szCs w:val="20"/>
        </w:rPr>
        <w:t>t</w:t>
      </w:r>
      <w:r w:rsidRPr="00640A8F">
        <w:rPr>
          <w:rFonts w:ascii="Times New Roman" w:hAnsi="Times New Roman"/>
          <w:i/>
          <w:iCs/>
          <w:color w:val="auto"/>
          <w:sz w:val="20"/>
          <w:szCs w:val="20"/>
          <w:lang w:eastAsia="it-IT"/>
        </w:rPr>
        <w:t xml:space="preserve">eaching and </w:t>
      </w:r>
      <w:r w:rsidRPr="00640A8F">
        <w:rPr>
          <w:rFonts w:ascii="Times New Roman" w:hAnsi="Times New Roman"/>
          <w:i/>
          <w:iCs/>
          <w:color w:val="auto"/>
          <w:sz w:val="20"/>
          <w:szCs w:val="20"/>
        </w:rPr>
        <w:t>p</w:t>
      </w:r>
      <w:r w:rsidRPr="00640A8F">
        <w:rPr>
          <w:rFonts w:ascii="Times New Roman" w:hAnsi="Times New Roman"/>
          <w:i/>
          <w:iCs/>
          <w:color w:val="auto"/>
          <w:sz w:val="20"/>
          <w:szCs w:val="20"/>
          <w:lang w:eastAsia="it-IT"/>
        </w:rPr>
        <w:t>ractice</w:t>
      </w:r>
      <w:r w:rsidRPr="00640A8F">
        <w:rPr>
          <w:rFonts w:ascii="Times New Roman" w:hAnsi="Times New Roman"/>
          <w:color w:val="auto"/>
          <w:sz w:val="20"/>
          <w:szCs w:val="20"/>
        </w:rPr>
        <w:t>.</w:t>
      </w:r>
      <w:r w:rsidRPr="00640A8F">
        <w:rPr>
          <w:rFonts w:ascii="Times New Roman" w:hAnsi="Times New Roman"/>
          <w:color w:val="auto"/>
          <w:sz w:val="20"/>
          <w:szCs w:val="20"/>
          <w:lang w:eastAsia="it-IT"/>
        </w:rPr>
        <w:t xml:space="preserve"> Bern: Peter Lang. 247–264.</w:t>
      </w:r>
    </w:p>
    <w:p w14:paraId="30B52367"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McWilliams, Abagail., Siegel, Donald. S., and Wright, Patrick. M. 2006. Guest Editors’ Introduction. Corporate Social Responsibility: Strategic Implications. </w:t>
      </w:r>
      <w:r w:rsidRPr="00640A8F">
        <w:rPr>
          <w:rFonts w:ascii="Times New Roman" w:hAnsi="Times New Roman"/>
          <w:i/>
          <w:color w:val="auto"/>
          <w:sz w:val="20"/>
          <w:szCs w:val="20"/>
        </w:rPr>
        <w:t>Journal of Management Studies</w:t>
      </w:r>
      <w:r w:rsidRPr="00640A8F">
        <w:rPr>
          <w:rFonts w:ascii="Times New Roman" w:hAnsi="Times New Roman"/>
          <w:color w:val="auto"/>
          <w:sz w:val="20"/>
          <w:szCs w:val="20"/>
        </w:rPr>
        <w:t xml:space="preserve"> 43(1). 1-18.</w:t>
      </w:r>
    </w:p>
    <w:p w14:paraId="301C001C"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Mitchell, Neil. 1989. </w:t>
      </w:r>
      <w:r w:rsidRPr="00640A8F">
        <w:rPr>
          <w:rFonts w:ascii="Times New Roman" w:hAnsi="Times New Roman"/>
          <w:i/>
          <w:color w:val="auto"/>
          <w:sz w:val="20"/>
          <w:szCs w:val="20"/>
        </w:rPr>
        <w:t>The Generous Corporation: A Political Analysis of Economic Power</w:t>
      </w:r>
      <w:r w:rsidRPr="00640A8F">
        <w:rPr>
          <w:rFonts w:ascii="Times New Roman" w:hAnsi="Times New Roman"/>
          <w:color w:val="auto"/>
          <w:sz w:val="20"/>
          <w:szCs w:val="20"/>
        </w:rPr>
        <w:t>. New Haven: Yale University Press.</w:t>
      </w:r>
    </w:p>
    <w:p w14:paraId="3D3CF5E8" w14:textId="77777777" w:rsidR="00A8227E" w:rsidRPr="00640A8F" w:rsidRDefault="00A8227E" w:rsidP="00A8227E">
      <w:pPr>
        <w:spacing w:after="0" w:line="240" w:lineRule="auto"/>
        <w:jc w:val="both"/>
        <w:rPr>
          <w:rFonts w:ascii="Times New Roman" w:eastAsia="SimSun" w:hAnsi="Times New Roman"/>
          <w:color w:val="auto"/>
          <w:kern w:val="1"/>
          <w:sz w:val="20"/>
          <w:szCs w:val="20"/>
          <w:lang w:bidi="hi-IN"/>
        </w:rPr>
      </w:pPr>
      <w:r w:rsidRPr="00640A8F">
        <w:rPr>
          <w:rFonts w:ascii="Times New Roman" w:hAnsi="Times New Roman"/>
          <w:color w:val="auto"/>
          <w:sz w:val="20"/>
          <w:szCs w:val="20"/>
          <w:shd w:val="clear" w:color="auto" w:fill="FFFFFF"/>
        </w:rPr>
        <w:t>Parodi, Giovanni. 2010. The rhetorical organization of the Textbook genre across disciplines: A ‘colony-in-loops’?</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i/>
          <w:iCs/>
          <w:color w:val="auto"/>
          <w:sz w:val="20"/>
          <w:szCs w:val="20"/>
          <w:shd w:val="clear" w:color="auto" w:fill="FFFFFF"/>
        </w:rPr>
        <w:t>Discourse Studies</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iCs/>
          <w:color w:val="auto"/>
          <w:sz w:val="20"/>
          <w:szCs w:val="20"/>
          <w:shd w:val="clear" w:color="auto" w:fill="FFFFFF"/>
        </w:rPr>
        <w:t>12</w:t>
      </w:r>
      <w:r w:rsidRPr="00640A8F">
        <w:rPr>
          <w:rFonts w:ascii="Times New Roman" w:hAnsi="Times New Roman"/>
          <w:color w:val="auto"/>
          <w:sz w:val="20"/>
          <w:szCs w:val="20"/>
          <w:shd w:val="clear" w:color="auto" w:fill="FFFFFF"/>
        </w:rPr>
        <w:t>(2). 195-222.</w:t>
      </w:r>
    </w:p>
    <w:p w14:paraId="66B2A6E9" w14:textId="77777777" w:rsidR="00A8227E" w:rsidRPr="00640A8F" w:rsidRDefault="00A8227E" w:rsidP="00A8227E">
      <w:pPr>
        <w:spacing w:after="0" w:line="240" w:lineRule="auto"/>
        <w:jc w:val="both"/>
        <w:rPr>
          <w:rFonts w:ascii="Times New Roman" w:eastAsia="SimSun" w:hAnsi="Times New Roman"/>
          <w:color w:val="auto"/>
          <w:kern w:val="1"/>
          <w:sz w:val="20"/>
          <w:szCs w:val="20"/>
          <w:lang w:bidi="hi-IN"/>
        </w:rPr>
      </w:pPr>
      <w:r w:rsidRPr="00640A8F">
        <w:rPr>
          <w:rFonts w:ascii="Times New Roman" w:eastAsia="SimSun" w:hAnsi="Times New Roman"/>
          <w:color w:val="auto"/>
          <w:kern w:val="1"/>
          <w:sz w:val="20"/>
          <w:szCs w:val="20"/>
          <w:lang w:eastAsia="hi-IN" w:bidi="hi-IN"/>
        </w:rPr>
        <w:t>Scott, M. 20</w:t>
      </w:r>
      <w:r w:rsidRPr="00640A8F">
        <w:rPr>
          <w:rFonts w:ascii="Times New Roman" w:eastAsia="SimSun" w:hAnsi="Times New Roman"/>
          <w:color w:val="auto"/>
          <w:kern w:val="1"/>
          <w:sz w:val="20"/>
          <w:szCs w:val="20"/>
          <w:lang w:bidi="hi-IN"/>
        </w:rPr>
        <w:t>14</w:t>
      </w:r>
      <w:r w:rsidRPr="00640A8F">
        <w:rPr>
          <w:rFonts w:ascii="Times New Roman" w:eastAsia="SimSun" w:hAnsi="Times New Roman"/>
          <w:color w:val="auto"/>
          <w:kern w:val="1"/>
          <w:sz w:val="20"/>
          <w:szCs w:val="20"/>
          <w:lang w:eastAsia="hi-IN" w:bidi="hi-IN"/>
        </w:rPr>
        <w:t>.</w:t>
      </w:r>
      <w:r w:rsidRPr="00640A8F">
        <w:rPr>
          <w:rFonts w:ascii="Times New Roman" w:eastAsia="SimSun" w:hAnsi="Times New Roman"/>
          <w:color w:val="auto"/>
          <w:kern w:val="1"/>
          <w:sz w:val="20"/>
          <w:szCs w:val="20"/>
          <w:lang w:bidi="hi-IN"/>
        </w:rPr>
        <w:t xml:space="preserve"> </w:t>
      </w:r>
      <w:r w:rsidRPr="00640A8F">
        <w:rPr>
          <w:rFonts w:ascii="Times New Roman" w:eastAsia="SimSun" w:hAnsi="Times New Roman"/>
          <w:i/>
          <w:color w:val="auto"/>
          <w:kern w:val="1"/>
          <w:sz w:val="20"/>
          <w:szCs w:val="20"/>
          <w:lang w:eastAsia="hi-IN" w:bidi="hi-IN"/>
        </w:rPr>
        <w:t xml:space="preserve">Wordsmith Tools, Version </w:t>
      </w:r>
      <w:r w:rsidRPr="00640A8F">
        <w:rPr>
          <w:rFonts w:ascii="Times New Roman" w:eastAsia="SimSun" w:hAnsi="Times New Roman"/>
          <w:i/>
          <w:color w:val="auto"/>
          <w:kern w:val="1"/>
          <w:sz w:val="20"/>
          <w:szCs w:val="20"/>
          <w:lang w:bidi="hi-IN"/>
        </w:rPr>
        <w:t>6</w:t>
      </w:r>
      <w:r w:rsidRPr="00640A8F">
        <w:rPr>
          <w:rFonts w:ascii="Times New Roman" w:eastAsia="SimSun" w:hAnsi="Times New Roman"/>
          <w:color w:val="auto"/>
          <w:kern w:val="1"/>
          <w:sz w:val="20"/>
          <w:szCs w:val="20"/>
          <w:lang w:bidi="hi-IN"/>
        </w:rPr>
        <w:t>.</w:t>
      </w:r>
      <w:r w:rsidRPr="00640A8F">
        <w:rPr>
          <w:rFonts w:ascii="Times New Roman" w:eastAsia="SimSun" w:hAnsi="Times New Roman"/>
          <w:color w:val="auto"/>
          <w:kern w:val="1"/>
          <w:sz w:val="20"/>
          <w:szCs w:val="20"/>
          <w:lang w:eastAsia="hi-IN" w:bidi="hi-IN"/>
        </w:rPr>
        <w:t xml:space="preserve"> Liverpool: Lexical Analysis Software.</w:t>
      </w:r>
    </w:p>
    <w:p w14:paraId="6EBA2C7B" w14:textId="77777777" w:rsidR="00A8227E" w:rsidRPr="00640A8F" w:rsidRDefault="00A8227E" w:rsidP="00A8227E">
      <w:pPr>
        <w:pStyle w:val="Predefinito1LTGliederung1"/>
        <w:spacing w:after="0"/>
        <w:ind w:left="400" w:hangingChars="200" w:hanging="400"/>
        <w:jc w:val="both"/>
        <w:rPr>
          <w:rFonts w:ascii="Times New Roman" w:eastAsia="Calibri" w:hAnsi="Times New Roman" w:cs="Times New Roman"/>
          <w:color w:val="auto"/>
          <w:sz w:val="20"/>
          <w:szCs w:val="20"/>
          <w:lang w:val="en-GB"/>
        </w:rPr>
      </w:pPr>
      <w:r w:rsidRPr="00640A8F">
        <w:rPr>
          <w:rFonts w:ascii="Times New Roman" w:eastAsia="Calibri" w:hAnsi="Times New Roman" w:cs="Times New Roman"/>
          <w:color w:val="auto"/>
          <w:sz w:val="20"/>
          <w:szCs w:val="20"/>
          <w:lang w:val="en-GB"/>
        </w:rPr>
        <w:t>Sinclair, John</w:t>
      </w:r>
      <w:r w:rsidRPr="00640A8F">
        <w:rPr>
          <w:rFonts w:ascii="Times New Roman" w:eastAsia="Times New Roman" w:hAnsi="Times New Roman" w:cs="Times New Roman"/>
          <w:color w:val="auto"/>
          <w:sz w:val="20"/>
          <w:szCs w:val="20"/>
          <w:lang w:val="en-GB" w:eastAsia="zh-CN"/>
        </w:rPr>
        <w:t>.</w:t>
      </w:r>
      <w:r w:rsidRPr="00640A8F">
        <w:rPr>
          <w:rFonts w:ascii="Times New Roman" w:eastAsia="Calibri" w:hAnsi="Times New Roman" w:cs="Times New Roman"/>
          <w:color w:val="auto"/>
          <w:sz w:val="20"/>
          <w:szCs w:val="20"/>
          <w:lang w:val="en-GB"/>
        </w:rPr>
        <w:t xml:space="preserve"> M.</w:t>
      </w:r>
      <w:r w:rsidRPr="00640A8F">
        <w:rPr>
          <w:rFonts w:ascii="Times New Roman" w:eastAsia="Times New Roman" w:hAnsi="Times New Roman" w:cs="Times New Roman"/>
          <w:color w:val="auto"/>
          <w:sz w:val="20"/>
          <w:szCs w:val="20"/>
          <w:lang w:val="en-GB" w:eastAsia="zh-CN"/>
        </w:rPr>
        <w:t>, and</w:t>
      </w:r>
      <w:r w:rsidRPr="00640A8F">
        <w:rPr>
          <w:rFonts w:ascii="Times New Roman" w:eastAsia="Calibri" w:hAnsi="Times New Roman" w:cs="Times New Roman"/>
          <w:color w:val="auto"/>
          <w:sz w:val="20"/>
          <w:szCs w:val="20"/>
          <w:lang w:val="en-GB"/>
        </w:rPr>
        <w:t xml:space="preserve"> Mauranen, Anna</w:t>
      </w:r>
      <w:r w:rsidRPr="00640A8F">
        <w:rPr>
          <w:rFonts w:ascii="Times New Roman" w:eastAsia="Times New Roman" w:hAnsi="Times New Roman" w:cs="Times New Roman"/>
          <w:color w:val="auto"/>
          <w:sz w:val="20"/>
          <w:szCs w:val="20"/>
          <w:lang w:val="en-GB" w:eastAsia="zh-CN"/>
        </w:rPr>
        <w:t xml:space="preserve">. </w:t>
      </w:r>
      <w:r w:rsidRPr="00640A8F">
        <w:rPr>
          <w:rFonts w:ascii="Times New Roman" w:eastAsia="Calibri" w:hAnsi="Times New Roman" w:cs="Times New Roman"/>
          <w:color w:val="auto"/>
          <w:sz w:val="20"/>
          <w:szCs w:val="20"/>
          <w:lang w:val="en-GB"/>
        </w:rPr>
        <w:t xml:space="preserve">2006. </w:t>
      </w:r>
      <w:r w:rsidRPr="00640A8F">
        <w:rPr>
          <w:rFonts w:ascii="Times New Roman" w:eastAsia="Calibri" w:hAnsi="Times New Roman" w:cs="Times New Roman"/>
          <w:i/>
          <w:iCs/>
          <w:color w:val="auto"/>
          <w:sz w:val="20"/>
          <w:szCs w:val="20"/>
          <w:lang w:val="en-GB"/>
        </w:rPr>
        <w:t>Linear Unit Grammar. Integrating speech and writing</w:t>
      </w:r>
      <w:r w:rsidRPr="00640A8F">
        <w:rPr>
          <w:rFonts w:ascii="Times New Roman" w:eastAsia="Times New Roman" w:hAnsi="Times New Roman" w:cs="Times New Roman"/>
          <w:color w:val="auto"/>
          <w:sz w:val="20"/>
          <w:szCs w:val="20"/>
          <w:lang w:val="en-GB" w:eastAsia="zh-CN"/>
        </w:rPr>
        <w:t>.</w:t>
      </w:r>
      <w:r w:rsidRPr="00640A8F">
        <w:rPr>
          <w:rFonts w:ascii="Times New Roman" w:eastAsia="Calibri" w:hAnsi="Times New Roman" w:cs="Times New Roman"/>
          <w:color w:val="auto"/>
          <w:sz w:val="20"/>
          <w:szCs w:val="20"/>
          <w:lang w:val="en-GB"/>
        </w:rPr>
        <w:t xml:space="preserve"> Amsterdam: Benjamins.</w:t>
      </w:r>
    </w:p>
    <w:p w14:paraId="774963D7"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Slim, H. 2002. “By what authority? The legitimacy and accountability of non-governmental organizations”. Paper presented at the International Meeting on “Global Trends and Human Rights”. Available at </w:t>
      </w:r>
      <w:hyperlink r:id="rId13" w:history="1">
        <w:r w:rsidRPr="00640A8F">
          <w:rPr>
            <w:rStyle w:val="Collegamentoipertestuale"/>
            <w:rFonts w:ascii="Times New Roman" w:hAnsi="Times New Roman"/>
            <w:color w:val="auto"/>
            <w:sz w:val="20"/>
            <w:szCs w:val="20"/>
          </w:rPr>
          <w:t>http://www.gdrc.org/ngo/accountability/by-what-authority.html</w:t>
        </w:r>
      </w:hyperlink>
      <w:r w:rsidRPr="00640A8F">
        <w:rPr>
          <w:rFonts w:ascii="Times New Roman" w:hAnsi="Times New Roman"/>
          <w:color w:val="auto"/>
          <w:sz w:val="20"/>
          <w:szCs w:val="20"/>
        </w:rPr>
        <w:t xml:space="preserve"> (accessed 31 January 2013)</w:t>
      </w:r>
    </w:p>
    <w:p w14:paraId="5588245E"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Smith, Carlota. S. 2003. </w:t>
      </w:r>
      <w:r w:rsidRPr="00640A8F">
        <w:rPr>
          <w:rFonts w:ascii="Times New Roman" w:hAnsi="Times New Roman"/>
          <w:i/>
          <w:color w:val="auto"/>
          <w:sz w:val="20"/>
          <w:szCs w:val="20"/>
        </w:rPr>
        <w:t>Modes of Discourse</w:t>
      </w:r>
      <w:r w:rsidRPr="00640A8F">
        <w:rPr>
          <w:rFonts w:ascii="Times New Roman" w:hAnsi="Times New Roman"/>
          <w:color w:val="auto"/>
          <w:sz w:val="20"/>
          <w:szCs w:val="20"/>
        </w:rPr>
        <w:t>. Cambridge, England: Cambridge University Press.</w:t>
      </w:r>
    </w:p>
    <w:p w14:paraId="62E80E53"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Suchman, Mark C. 1995. Managing legitimacy: Strategic and institutional approaches. </w:t>
      </w:r>
      <w:r w:rsidRPr="00640A8F">
        <w:rPr>
          <w:rFonts w:ascii="Times New Roman" w:hAnsi="Times New Roman"/>
          <w:i/>
          <w:color w:val="auto"/>
          <w:sz w:val="20"/>
          <w:szCs w:val="20"/>
        </w:rPr>
        <w:t>Academy of Management Review</w:t>
      </w:r>
      <w:r w:rsidRPr="00640A8F">
        <w:rPr>
          <w:rFonts w:ascii="Times New Roman" w:hAnsi="Times New Roman"/>
          <w:color w:val="auto"/>
          <w:sz w:val="20"/>
          <w:szCs w:val="20"/>
        </w:rPr>
        <w:t xml:space="preserve"> 20(3). 571-610.</w:t>
      </w:r>
    </w:p>
    <w:p w14:paraId="7B7A80BB" w14:textId="77777777" w:rsidR="00A8227E" w:rsidRPr="00640A8F" w:rsidRDefault="00A8227E" w:rsidP="00A8227E">
      <w:pPr>
        <w:spacing w:after="0" w:line="240" w:lineRule="auto"/>
        <w:jc w:val="both"/>
        <w:rPr>
          <w:rFonts w:ascii="Times New Roman" w:eastAsia="SimSun" w:hAnsi="Times New Roman"/>
          <w:color w:val="auto"/>
          <w:sz w:val="20"/>
          <w:szCs w:val="20"/>
        </w:rPr>
      </w:pPr>
      <w:r w:rsidRPr="00640A8F">
        <w:rPr>
          <w:rFonts w:ascii="Times New Roman" w:eastAsia="+mn-ea" w:hAnsi="Times New Roman"/>
          <w:color w:val="auto"/>
          <w:kern w:val="24"/>
          <w:sz w:val="20"/>
          <w:szCs w:val="20"/>
        </w:rPr>
        <w:t>Swales, John</w:t>
      </w:r>
      <w:r w:rsidRPr="00640A8F">
        <w:rPr>
          <w:rFonts w:ascii="Times New Roman" w:hAnsi="Times New Roman"/>
          <w:color w:val="auto"/>
          <w:kern w:val="24"/>
          <w:sz w:val="20"/>
          <w:szCs w:val="20"/>
        </w:rPr>
        <w:t>.</w:t>
      </w:r>
      <w:r w:rsidRPr="00640A8F">
        <w:rPr>
          <w:rFonts w:ascii="Times New Roman" w:eastAsia="+mn-ea" w:hAnsi="Times New Roman"/>
          <w:color w:val="auto"/>
          <w:kern w:val="24"/>
          <w:sz w:val="20"/>
          <w:szCs w:val="20"/>
        </w:rPr>
        <w:t xml:space="preserve"> </w:t>
      </w:r>
      <w:r w:rsidRPr="00640A8F">
        <w:rPr>
          <w:rFonts w:ascii="Times New Roman" w:hAnsi="Times New Roman"/>
          <w:color w:val="auto"/>
          <w:kern w:val="24"/>
          <w:sz w:val="20"/>
          <w:szCs w:val="20"/>
        </w:rPr>
        <w:t>1</w:t>
      </w:r>
      <w:r w:rsidRPr="00640A8F">
        <w:rPr>
          <w:rFonts w:ascii="Times New Roman" w:eastAsia="+mn-ea" w:hAnsi="Times New Roman"/>
          <w:color w:val="auto"/>
          <w:kern w:val="24"/>
          <w:sz w:val="20"/>
          <w:szCs w:val="20"/>
        </w:rPr>
        <w:t>990.</w:t>
      </w:r>
      <w:r w:rsidRPr="00640A8F">
        <w:rPr>
          <w:rFonts w:ascii="Times New Roman" w:eastAsia="+mn-ea" w:hAnsi="Times New Roman"/>
          <w:i/>
          <w:iCs/>
          <w:color w:val="auto"/>
          <w:kern w:val="24"/>
          <w:sz w:val="20"/>
          <w:szCs w:val="20"/>
        </w:rPr>
        <w:t xml:space="preserve"> Genre Analysis</w:t>
      </w:r>
      <w:r w:rsidRPr="00640A8F">
        <w:rPr>
          <w:rFonts w:ascii="Times New Roman" w:eastAsia="+mn-ea" w:hAnsi="Times New Roman"/>
          <w:color w:val="auto"/>
          <w:kern w:val="24"/>
          <w:sz w:val="20"/>
          <w:szCs w:val="20"/>
        </w:rPr>
        <w:t>. Cambridge: Cambridge University Press.</w:t>
      </w:r>
    </w:p>
    <w:p w14:paraId="25A98C6F"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shd w:val="clear" w:color="auto" w:fill="FFFFFF"/>
        </w:rPr>
      </w:pPr>
      <w:r w:rsidRPr="00640A8F">
        <w:rPr>
          <w:rFonts w:ascii="Times New Roman" w:hAnsi="Times New Roman"/>
          <w:color w:val="auto"/>
          <w:sz w:val="20"/>
          <w:szCs w:val="20"/>
          <w:shd w:val="clear" w:color="auto" w:fill="FFFFFF"/>
        </w:rPr>
        <w:t>Van Marrewijk, Marcel. 2002. Concepts and definitions of CSR and corporate sustainability: Between agency and communion.</w:t>
      </w:r>
      <w:r w:rsidRPr="00640A8F">
        <w:rPr>
          <w:rStyle w:val="apple-converted-space"/>
          <w:rFonts w:ascii="Times New Roman" w:hAnsi="Times New Roman"/>
          <w:color w:val="auto"/>
          <w:sz w:val="20"/>
          <w:szCs w:val="20"/>
          <w:shd w:val="clear" w:color="auto" w:fill="FFFFFF"/>
        </w:rPr>
        <w:t> </w:t>
      </w:r>
      <w:r w:rsidRPr="00640A8F">
        <w:rPr>
          <w:rFonts w:ascii="Times New Roman" w:hAnsi="Times New Roman"/>
          <w:i/>
          <w:iCs/>
          <w:color w:val="auto"/>
          <w:sz w:val="20"/>
          <w:szCs w:val="20"/>
          <w:shd w:val="clear" w:color="auto" w:fill="FFFFFF"/>
        </w:rPr>
        <w:t>Journal of business ethics</w:t>
      </w:r>
      <w:r w:rsidRPr="00640A8F">
        <w:rPr>
          <w:rFonts w:ascii="Times New Roman" w:hAnsi="Times New Roman"/>
          <w:color w:val="auto"/>
          <w:sz w:val="20"/>
          <w:szCs w:val="20"/>
          <w:shd w:val="clear" w:color="auto" w:fill="FFFFFF"/>
        </w:rPr>
        <w:t xml:space="preserve"> </w:t>
      </w:r>
      <w:r w:rsidRPr="00640A8F">
        <w:rPr>
          <w:rFonts w:ascii="Times New Roman" w:hAnsi="Times New Roman"/>
          <w:iCs/>
          <w:color w:val="auto"/>
          <w:sz w:val="20"/>
          <w:szCs w:val="20"/>
          <w:shd w:val="clear" w:color="auto" w:fill="FFFFFF"/>
        </w:rPr>
        <w:t>44</w:t>
      </w:r>
      <w:r w:rsidRPr="00640A8F">
        <w:rPr>
          <w:rFonts w:ascii="Times New Roman" w:hAnsi="Times New Roman"/>
          <w:color w:val="auto"/>
          <w:sz w:val="20"/>
          <w:szCs w:val="20"/>
          <w:shd w:val="clear" w:color="auto" w:fill="FFFFFF"/>
        </w:rPr>
        <w:t>(2-3), 95-105.</w:t>
      </w:r>
    </w:p>
    <w:p w14:paraId="747D3398" w14:textId="77777777" w:rsidR="00A8227E" w:rsidRPr="00640A8F" w:rsidRDefault="00A8227E" w:rsidP="00A8227E">
      <w:pPr>
        <w:spacing w:after="0" w:line="240" w:lineRule="auto"/>
        <w:ind w:left="400" w:hangingChars="200" w:hanging="400"/>
        <w:jc w:val="both"/>
        <w:rPr>
          <w:rFonts w:ascii="Times New Roman" w:hAnsi="Times New Roman"/>
          <w:color w:val="auto"/>
          <w:sz w:val="20"/>
          <w:szCs w:val="20"/>
        </w:rPr>
      </w:pPr>
      <w:r w:rsidRPr="00640A8F">
        <w:rPr>
          <w:rFonts w:ascii="Times New Roman" w:hAnsi="Times New Roman"/>
          <w:color w:val="auto"/>
          <w:sz w:val="20"/>
          <w:szCs w:val="20"/>
        </w:rPr>
        <w:t xml:space="preserve">WBCSD (World Business Council for Sustainable Development) (2000). </w:t>
      </w:r>
      <w:r w:rsidRPr="00640A8F">
        <w:rPr>
          <w:rFonts w:ascii="Times New Roman" w:hAnsi="Times New Roman"/>
          <w:i/>
          <w:color w:val="auto"/>
          <w:sz w:val="20"/>
          <w:szCs w:val="20"/>
        </w:rPr>
        <w:t>Corporate Social Responsibility: Making Good Business Sense</w:t>
      </w:r>
      <w:r w:rsidRPr="00640A8F">
        <w:rPr>
          <w:rFonts w:ascii="Times New Roman" w:hAnsi="Times New Roman"/>
          <w:color w:val="auto"/>
          <w:sz w:val="20"/>
          <w:szCs w:val="20"/>
        </w:rPr>
        <w:t>. Geneva: WBCSD, Geneva.</w:t>
      </w:r>
    </w:p>
    <w:p w14:paraId="0231540B" w14:textId="77777777" w:rsidR="00A8227E" w:rsidRPr="00640A8F" w:rsidRDefault="00A8227E" w:rsidP="00A8227E">
      <w:pPr>
        <w:spacing w:after="0" w:line="240" w:lineRule="auto"/>
        <w:jc w:val="both"/>
        <w:rPr>
          <w:rFonts w:ascii="Times New Roman" w:hAnsi="Times New Roman"/>
          <w:color w:val="auto"/>
          <w:sz w:val="20"/>
          <w:szCs w:val="20"/>
        </w:rPr>
      </w:pPr>
      <w:r w:rsidRPr="00640A8F">
        <w:rPr>
          <w:rFonts w:ascii="Times New Roman" w:hAnsi="Times New Roman"/>
          <w:color w:val="auto"/>
          <w:sz w:val="20"/>
          <w:szCs w:val="20"/>
        </w:rPr>
        <w:t xml:space="preserve">Werlich, Egon. 1976. </w:t>
      </w:r>
      <w:r w:rsidRPr="00640A8F">
        <w:rPr>
          <w:rFonts w:ascii="Times New Roman" w:hAnsi="Times New Roman"/>
          <w:i/>
          <w:color w:val="auto"/>
          <w:sz w:val="20"/>
          <w:szCs w:val="20"/>
        </w:rPr>
        <w:t>A Text Grammar of English</w:t>
      </w:r>
      <w:r w:rsidRPr="00640A8F">
        <w:rPr>
          <w:rFonts w:ascii="Times New Roman" w:hAnsi="Times New Roman"/>
          <w:color w:val="auto"/>
          <w:sz w:val="20"/>
          <w:szCs w:val="20"/>
        </w:rPr>
        <w:t>. Heidelberg: Quelle und Meyer.</w:t>
      </w:r>
    </w:p>
    <w:p w14:paraId="3971ED5B" w14:textId="77777777" w:rsidR="00A8227E" w:rsidRPr="00640A8F" w:rsidRDefault="00A8227E" w:rsidP="00A8227E">
      <w:pPr>
        <w:autoSpaceDE w:val="0"/>
        <w:autoSpaceDN w:val="0"/>
        <w:adjustRightInd w:val="0"/>
        <w:spacing w:after="0" w:line="240" w:lineRule="auto"/>
        <w:ind w:left="400" w:hangingChars="200" w:hanging="400"/>
        <w:jc w:val="both"/>
        <w:rPr>
          <w:rFonts w:ascii="Times New Roman" w:hAnsi="Times New Roman"/>
          <w:i/>
          <w:iCs/>
          <w:color w:val="auto"/>
          <w:sz w:val="20"/>
          <w:szCs w:val="20"/>
          <w:lang w:eastAsia="it-IT"/>
        </w:rPr>
      </w:pPr>
      <w:r w:rsidRPr="00640A8F">
        <w:rPr>
          <w:rFonts w:ascii="Times New Roman" w:hAnsi="Times New Roman"/>
          <w:iCs/>
          <w:color w:val="auto"/>
          <w:sz w:val="20"/>
          <w:szCs w:val="20"/>
          <w:lang w:eastAsia="it-IT"/>
        </w:rPr>
        <w:t>Williams, C.A.</w:t>
      </w:r>
      <w:r w:rsidRPr="00640A8F">
        <w:rPr>
          <w:rFonts w:ascii="Times New Roman" w:hAnsi="Times New Roman"/>
          <w:iCs/>
          <w:color w:val="auto"/>
          <w:sz w:val="20"/>
          <w:szCs w:val="20"/>
        </w:rPr>
        <w:t>,</w:t>
      </w:r>
      <w:r w:rsidRPr="00640A8F">
        <w:rPr>
          <w:rFonts w:ascii="Times New Roman" w:hAnsi="Times New Roman"/>
          <w:iCs/>
          <w:color w:val="auto"/>
          <w:sz w:val="20"/>
          <w:szCs w:val="20"/>
          <w:lang w:eastAsia="it-IT"/>
        </w:rPr>
        <w:t xml:space="preserve"> and Aguilera R.V. (2008)</w:t>
      </w:r>
      <w:r w:rsidRPr="00640A8F">
        <w:rPr>
          <w:rFonts w:ascii="Times New Roman" w:hAnsi="Times New Roman"/>
          <w:iCs/>
          <w:color w:val="auto"/>
          <w:sz w:val="20"/>
          <w:szCs w:val="20"/>
        </w:rPr>
        <w:t xml:space="preserve">. </w:t>
      </w:r>
      <w:r w:rsidRPr="00640A8F">
        <w:rPr>
          <w:rFonts w:ascii="Times New Roman" w:hAnsi="Times New Roman"/>
          <w:iCs/>
          <w:color w:val="auto"/>
          <w:sz w:val="20"/>
          <w:szCs w:val="20"/>
          <w:lang w:eastAsia="it-IT"/>
        </w:rPr>
        <w:t xml:space="preserve">Corporate social responsibility in comparative perspective. </w:t>
      </w:r>
      <w:r w:rsidRPr="00640A8F">
        <w:rPr>
          <w:rFonts w:ascii="Times New Roman" w:eastAsia="Calibri" w:hAnsi="Times New Roman"/>
          <w:color w:val="auto"/>
          <w:kern w:val="1"/>
          <w:sz w:val="20"/>
          <w:szCs w:val="20"/>
          <w:lang w:eastAsia="hi-IN" w:bidi="hi-IN"/>
        </w:rPr>
        <w:t>In</w:t>
      </w:r>
      <w:r w:rsidRPr="00640A8F">
        <w:rPr>
          <w:rFonts w:ascii="Times New Roman" w:hAnsi="Times New Roman"/>
          <w:color w:val="auto"/>
          <w:kern w:val="1"/>
          <w:sz w:val="20"/>
          <w:szCs w:val="20"/>
          <w:lang w:bidi="hi-IN"/>
        </w:rPr>
        <w:t xml:space="preserve"> </w:t>
      </w:r>
      <w:r w:rsidRPr="00640A8F">
        <w:rPr>
          <w:rFonts w:ascii="Times New Roman" w:eastAsia="Calibri" w:hAnsi="Times New Roman"/>
          <w:color w:val="auto"/>
          <w:kern w:val="1"/>
          <w:sz w:val="20"/>
          <w:szCs w:val="20"/>
          <w:lang w:eastAsia="hi-IN" w:bidi="hi-IN"/>
        </w:rPr>
        <w:t>A. Crane, A McWilliams, D. Matten, J. Moon</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and D.S. Siegel (eds.</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w:t>
      </w:r>
      <w:r w:rsidRPr="00640A8F">
        <w:rPr>
          <w:rFonts w:ascii="Times New Roman" w:eastAsia="Calibri" w:hAnsi="Times New Roman"/>
          <w:i/>
          <w:color w:val="auto"/>
          <w:kern w:val="1"/>
          <w:sz w:val="20"/>
          <w:szCs w:val="20"/>
          <w:lang w:eastAsia="hi-IN" w:bidi="hi-IN"/>
        </w:rPr>
        <w:t>The Oxford Handbook of Corporate social responsibility</w:t>
      </w:r>
      <w:r w:rsidRPr="00640A8F">
        <w:rPr>
          <w:rFonts w:ascii="Times New Roman" w:hAnsi="Times New Roman"/>
          <w:color w:val="auto"/>
          <w:kern w:val="1"/>
          <w:sz w:val="20"/>
          <w:szCs w:val="20"/>
          <w:lang w:bidi="hi-IN"/>
        </w:rPr>
        <w:t>.</w:t>
      </w:r>
      <w:r w:rsidRPr="00640A8F">
        <w:rPr>
          <w:rFonts w:ascii="Times New Roman" w:eastAsia="Calibri" w:hAnsi="Times New Roman"/>
          <w:color w:val="auto"/>
          <w:kern w:val="1"/>
          <w:sz w:val="20"/>
          <w:szCs w:val="20"/>
          <w:lang w:eastAsia="hi-IN" w:bidi="hi-IN"/>
        </w:rPr>
        <w:t xml:space="preserve"> </w:t>
      </w:r>
      <w:r w:rsidRPr="00640A8F">
        <w:rPr>
          <w:rFonts w:ascii="Times New Roman" w:hAnsi="Times New Roman"/>
          <w:color w:val="auto"/>
          <w:kern w:val="1"/>
          <w:sz w:val="20"/>
          <w:szCs w:val="20"/>
          <w:lang w:bidi="hi-IN"/>
        </w:rPr>
        <w:t>Oxford: Oxford University Press.</w:t>
      </w:r>
      <w:r w:rsidRPr="00640A8F">
        <w:rPr>
          <w:rFonts w:ascii="Times New Roman" w:eastAsia="Calibri" w:hAnsi="Times New Roman"/>
          <w:color w:val="auto"/>
          <w:kern w:val="1"/>
          <w:sz w:val="20"/>
          <w:szCs w:val="20"/>
          <w:lang w:eastAsia="hi-IN" w:bidi="hi-IN"/>
        </w:rPr>
        <w:t xml:space="preserve"> 452-472.</w:t>
      </w:r>
    </w:p>
    <w:p w14:paraId="62ABA136" w14:textId="77777777" w:rsidR="00A8227E" w:rsidRPr="00640A8F" w:rsidRDefault="00A8227E" w:rsidP="00A8227E">
      <w:pPr>
        <w:spacing w:after="0" w:line="240" w:lineRule="auto"/>
        <w:ind w:left="400" w:hangingChars="200" w:hanging="400"/>
        <w:jc w:val="both"/>
        <w:rPr>
          <w:rFonts w:ascii="Times New Roman" w:eastAsia="SimSun" w:hAnsi="Times New Roman"/>
          <w:color w:val="auto"/>
          <w:kern w:val="1"/>
          <w:sz w:val="20"/>
          <w:szCs w:val="20"/>
          <w:shd w:val="clear" w:color="auto" w:fill="FFFFFF"/>
          <w:lang w:bidi="hi-IN"/>
        </w:rPr>
      </w:pPr>
      <w:r w:rsidRPr="00640A8F">
        <w:rPr>
          <w:rFonts w:ascii="Times New Roman" w:eastAsia="SimSun" w:hAnsi="Times New Roman"/>
          <w:color w:val="auto"/>
          <w:kern w:val="1"/>
          <w:sz w:val="20"/>
          <w:szCs w:val="20"/>
          <w:shd w:val="clear" w:color="auto" w:fill="FFFFFF"/>
          <w:lang w:bidi="hi-IN"/>
        </w:rPr>
        <w:t>Yu, D. and Bondi, M. (2017). The generic structure of CSR reports in Italian, Chinese, and English.</w:t>
      </w:r>
      <w:r w:rsidRPr="00640A8F">
        <w:rPr>
          <w:rFonts w:ascii="Times New Roman" w:eastAsia="SimSun" w:hAnsi="Times New Roman"/>
          <w:color w:val="auto"/>
          <w:kern w:val="1"/>
          <w:sz w:val="20"/>
          <w:szCs w:val="20"/>
          <w:shd w:val="clear" w:color="auto" w:fill="FFFFFF"/>
          <w:lang w:eastAsia="hi-IN" w:bidi="hi-IN"/>
        </w:rPr>
        <w:t> </w:t>
      </w:r>
      <w:r w:rsidRPr="00640A8F">
        <w:rPr>
          <w:rFonts w:ascii="Times New Roman" w:eastAsia="SimSun" w:hAnsi="Times New Roman"/>
          <w:i/>
          <w:color w:val="auto"/>
          <w:kern w:val="1"/>
          <w:sz w:val="20"/>
          <w:szCs w:val="20"/>
          <w:shd w:val="clear" w:color="auto" w:fill="FFFFFF"/>
          <w:lang w:eastAsia="hi-IN" w:bidi="hi-IN"/>
        </w:rPr>
        <w:t xml:space="preserve">IEEE Transactions on Professional Communication </w:t>
      </w:r>
      <w:r w:rsidRPr="00640A8F">
        <w:rPr>
          <w:rFonts w:ascii="Times New Roman" w:eastAsia="SimSun" w:hAnsi="Times New Roman"/>
          <w:color w:val="auto"/>
          <w:kern w:val="1"/>
          <w:sz w:val="20"/>
          <w:szCs w:val="20"/>
          <w:shd w:val="clear" w:color="auto" w:fill="FFFFFF"/>
          <w:lang w:eastAsia="hi-IN" w:bidi="hi-IN"/>
        </w:rPr>
        <w:t>60(3): 273-291.</w:t>
      </w:r>
    </w:p>
    <w:p w14:paraId="6D548DB3" w14:textId="77777777" w:rsidR="00A8227E" w:rsidRPr="00640A8F" w:rsidRDefault="00A8227E" w:rsidP="00A8227E">
      <w:pPr>
        <w:spacing w:after="0" w:line="240" w:lineRule="auto"/>
        <w:contextualSpacing/>
        <w:jc w:val="both"/>
        <w:rPr>
          <w:rFonts w:ascii="Times New Roman" w:hAnsi="Times New Roman"/>
          <w:color w:val="auto"/>
        </w:rPr>
      </w:pPr>
    </w:p>
    <w:p w14:paraId="5FCCFA3F" w14:textId="77777777" w:rsidR="00A8227E" w:rsidRPr="00640A8F" w:rsidRDefault="00A8227E" w:rsidP="00A8227E">
      <w:pPr>
        <w:spacing w:after="0" w:line="240" w:lineRule="auto"/>
        <w:contextualSpacing/>
        <w:jc w:val="both"/>
        <w:rPr>
          <w:rFonts w:ascii="Times New Roman" w:hAnsi="Times New Roman"/>
          <w:color w:val="auto"/>
        </w:rPr>
      </w:pPr>
    </w:p>
    <w:p w14:paraId="55A92438" w14:textId="77777777" w:rsidR="00A8227E" w:rsidRPr="00640A8F" w:rsidRDefault="00A8227E" w:rsidP="00A8227E">
      <w:pPr>
        <w:spacing w:after="0" w:line="240" w:lineRule="auto"/>
        <w:contextualSpacing/>
        <w:jc w:val="both"/>
        <w:rPr>
          <w:rFonts w:ascii="Times New Roman" w:hAnsi="Times New Roman"/>
          <w:color w:val="auto"/>
        </w:rPr>
      </w:pPr>
    </w:p>
    <w:p w14:paraId="54DF504F" w14:textId="77777777" w:rsidR="00A8227E" w:rsidRPr="00640A8F" w:rsidRDefault="00A8227E" w:rsidP="00A8227E">
      <w:pPr>
        <w:spacing w:after="0" w:line="240" w:lineRule="auto"/>
        <w:contextualSpacing/>
        <w:jc w:val="both"/>
        <w:rPr>
          <w:rFonts w:ascii="Times New Roman" w:hAnsi="Times New Roman"/>
          <w:color w:val="auto"/>
        </w:rPr>
      </w:pPr>
    </w:p>
    <w:p w14:paraId="1618C9FB" w14:textId="77777777" w:rsidR="00A8227E" w:rsidRPr="00640A8F" w:rsidRDefault="00A8227E" w:rsidP="00A8227E">
      <w:pPr>
        <w:spacing w:after="0" w:line="240" w:lineRule="auto"/>
        <w:contextualSpacing/>
        <w:jc w:val="both"/>
        <w:rPr>
          <w:rFonts w:ascii="Times New Roman" w:hAnsi="Times New Roman"/>
          <w:color w:val="auto"/>
        </w:rPr>
      </w:pPr>
    </w:p>
    <w:p w14:paraId="50096F82" w14:textId="77777777" w:rsidR="00B77463" w:rsidRDefault="00B77463"/>
    <w:sectPr w:rsidR="00B7746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ont411">
    <w:altName w:val="Times New Roman"/>
    <w:charset w:val="00"/>
    <w:family w:val="auto"/>
    <w:pitch w:val="variable"/>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LT Std">
    <w:charset w:val="00"/>
    <w:family w:val="swiss"/>
    <w:pitch w:val="variable"/>
  </w:font>
  <w:font w:name="HelveticaNeueLT Std Cn">
    <w:charset w:val="00"/>
    <w:family w:val="swiss"/>
    <w:pitch w:val="variable"/>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Lucida Grande">
    <w:altName w:val="Arial"/>
    <w:charset w:val="00"/>
    <w:family w:val="auto"/>
    <w:pitch w:val="variable"/>
    <w:sig w:usb0="A1002AE7" w:usb1="C0000063" w:usb2="00000038"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inion-Regular">
    <w:altName w:val="Cambria"/>
    <w:panose1 w:val="00000000000000000000"/>
    <w:charset w:val="00"/>
    <w:family w:val="roman"/>
    <w:notTrueType/>
    <w:pitch w:val="default"/>
  </w:font>
  <w:font w:name="Minion-Italic">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mn-ea">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Num13"/>
    <w:lvl w:ilvl="0">
      <w:start w:val="1"/>
      <w:numFmt w:val="bullet"/>
      <w:lvlText w:val="-"/>
      <w:lvlJc w:val="left"/>
      <w:pPr>
        <w:tabs>
          <w:tab w:val="num" w:pos="208"/>
        </w:tabs>
        <w:ind w:left="928" w:hanging="360"/>
      </w:pPr>
      <w:rPr>
        <w:rFonts w:ascii="Times New Roman" w:hAnsi="Times New Roman" w:cs="Times New Roman"/>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3"/>
    <w:multiLevelType w:val="multilevel"/>
    <w:tmpl w:val="00000003"/>
    <w:name w:val="WWNum1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0000004"/>
    <w:multiLevelType w:val="multilevel"/>
    <w:tmpl w:val="00000004"/>
    <w:name w:val="WWNum2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F126830"/>
    <w:multiLevelType w:val="hybridMultilevel"/>
    <w:tmpl w:val="BFA846E6"/>
    <w:lvl w:ilvl="0" w:tplc="BDE8EAB4">
      <w:start w:val="4"/>
      <w:numFmt w:val="bullet"/>
      <w:lvlText w:val="-"/>
      <w:lvlJc w:val="left"/>
      <w:pPr>
        <w:ind w:left="1200" w:hanging="360"/>
      </w:pPr>
      <w:rPr>
        <w:rFonts w:ascii="Calibri" w:eastAsiaTheme="minorEastAsia" w:hAnsi="Calibri" w:cs="Calibri" w:hint="default"/>
      </w:rPr>
    </w:lvl>
    <w:lvl w:ilvl="1" w:tplc="04090003" w:tentative="1">
      <w:start w:val="1"/>
      <w:numFmt w:val="bullet"/>
      <w:lvlText w:val=""/>
      <w:lvlJc w:val="left"/>
      <w:pPr>
        <w:ind w:left="1680" w:hanging="420"/>
      </w:pPr>
      <w:rPr>
        <w:rFonts w:ascii="Wingdings" w:hAnsi="Wingdings" w:hint="default"/>
      </w:rPr>
    </w:lvl>
    <w:lvl w:ilvl="2" w:tplc="04090005"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3" w:tentative="1">
      <w:start w:val="1"/>
      <w:numFmt w:val="bullet"/>
      <w:lvlText w:val=""/>
      <w:lvlJc w:val="left"/>
      <w:pPr>
        <w:ind w:left="2940" w:hanging="420"/>
      </w:pPr>
      <w:rPr>
        <w:rFonts w:ascii="Wingdings" w:hAnsi="Wingdings" w:hint="default"/>
      </w:rPr>
    </w:lvl>
    <w:lvl w:ilvl="5" w:tplc="04090005"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3" w:tentative="1">
      <w:start w:val="1"/>
      <w:numFmt w:val="bullet"/>
      <w:lvlText w:val=""/>
      <w:lvlJc w:val="left"/>
      <w:pPr>
        <w:ind w:left="4200" w:hanging="420"/>
      </w:pPr>
      <w:rPr>
        <w:rFonts w:ascii="Wingdings" w:hAnsi="Wingdings" w:hint="default"/>
      </w:rPr>
    </w:lvl>
    <w:lvl w:ilvl="8" w:tplc="04090005" w:tentative="1">
      <w:start w:val="1"/>
      <w:numFmt w:val="bullet"/>
      <w:lvlText w:val=""/>
      <w:lvlJc w:val="left"/>
      <w:pPr>
        <w:ind w:left="4620" w:hanging="420"/>
      </w:pPr>
      <w:rPr>
        <w:rFonts w:ascii="Wingdings" w:hAnsi="Wingdings" w:hint="default"/>
      </w:rPr>
    </w:lvl>
  </w:abstractNum>
  <w:abstractNum w:abstractNumId="4" w15:restartNumberingAfterBreak="0">
    <w:nsid w:val="2CBF5D54"/>
    <w:multiLevelType w:val="hybridMultilevel"/>
    <w:tmpl w:val="325C57A4"/>
    <w:lvl w:ilvl="0" w:tplc="0410000F">
      <w:start w:val="1"/>
      <w:numFmt w:val="decimal"/>
      <w:lvlText w:val="%1."/>
      <w:lvlJc w:val="left"/>
      <w:pPr>
        <w:ind w:left="1140" w:hanging="360"/>
      </w:pPr>
      <w:rPr>
        <w:rFonts w:hint="default"/>
      </w:rPr>
    </w:lvl>
    <w:lvl w:ilvl="1" w:tplc="04100003">
      <w:start w:val="1"/>
      <w:numFmt w:val="bullet"/>
      <w:lvlText w:val="o"/>
      <w:lvlJc w:val="left"/>
      <w:pPr>
        <w:ind w:left="1860" w:hanging="360"/>
      </w:pPr>
      <w:rPr>
        <w:rFonts w:ascii="Courier New" w:hAnsi="Courier New" w:cs="Courier New" w:hint="default"/>
      </w:rPr>
    </w:lvl>
    <w:lvl w:ilvl="2" w:tplc="04100005" w:tentative="1">
      <w:start w:val="1"/>
      <w:numFmt w:val="bullet"/>
      <w:lvlText w:val=""/>
      <w:lvlJc w:val="left"/>
      <w:pPr>
        <w:ind w:left="2580" w:hanging="360"/>
      </w:pPr>
      <w:rPr>
        <w:rFonts w:ascii="Wingdings" w:hAnsi="Wingdings" w:hint="default"/>
      </w:rPr>
    </w:lvl>
    <w:lvl w:ilvl="3" w:tplc="04100001" w:tentative="1">
      <w:start w:val="1"/>
      <w:numFmt w:val="bullet"/>
      <w:lvlText w:val=""/>
      <w:lvlJc w:val="left"/>
      <w:pPr>
        <w:ind w:left="3300" w:hanging="360"/>
      </w:pPr>
      <w:rPr>
        <w:rFonts w:ascii="Symbol" w:hAnsi="Symbol" w:hint="default"/>
      </w:rPr>
    </w:lvl>
    <w:lvl w:ilvl="4" w:tplc="04100003" w:tentative="1">
      <w:start w:val="1"/>
      <w:numFmt w:val="bullet"/>
      <w:lvlText w:val="o"/>
      <w:lvlJc w:val="left"/>
      <w:pPr>
        <w:ind w:left="4020" w:hanging="360"/>
      </w:pPr>
      <w:rPr>
        <w:rFonts w:ascii="Courier New" w:hAnsi="Courier New" w:cs="Courier New" w:hint="default"/>
      </w:rPr>
    </w:lvl>
    <w:lvl w:ilvl="5" w:tplc="04100005" w:tentative="1">
      <w:start w:val="1"/>
      <w:numFmt w:val="bullet"/>
      <w:lvlText w:val=""/>
      <w:lvlJc w:val="left"/>
      <w:pPr>
        <w:ind w:left="4740" w:hanging="360"/>
      </w:pPr>
      <w:rPr>
        <w:rFonts w:ascii="Wingdings" w:hAnsi="Wingdings" w:hint="default"/>
      </w:rPr>
    </w:lvl>
    <w:lvl w:ilvl="6" w:tplc="04100001" w:tentative="1">
      <w:start w:val="1"/>
      <w:numFmt w:val="bullet"/>
      <w:lvlText w:val=""/>
      <w:lvlJc w:val="left"/>
      <w:pPr>
        <w:ind w:left="5460" w:hanging="360"/>
      </w:pPr>
      <w:rPr>
        <w:rFonts w:ascii="Symbol" w:hAnsi="Symbol" w:hint="default"/>
      </w:rPr>
    </w:lvl>
    <w:lvl w:ilvl="7" w:tplc="04100003" w:tentative="1">
      <w:start w:val="1"/>
      <w:numFmt w:val="bullet"/>
      <w:lvlText w:val="o"/>
      <w:lvlJc w:val="left"/>
      <w:pPr>
        <w:ind w:left="6180" w:hanging="360"/>
      </w:pPr>
      <w:rPr>
        <w:rFonts w:ascii="Courier New" w:hAnsi="Courier New" w:cs="Courier New" w:hint="default"/>
      </w:rPr>
    </w:lvl>
    <w:lvl w:ilvl="8" w:tplc="04100005" w:tentative="1">
      <w:start w:val="1"/>
      <w:numFmt w:val="bullet"/>
      <w:lvlText w:val=""/>
      <w:lvlJc w:val="left"/>
      <w:pPr>
        <w:ind w:left="6900" w:hanging="360"/>
      </w:pPr>
      <w:rPr>
        <w:rFonts w:ascii="Wingdings" w:hAnsi="Wingdings" w:hint="default"/>
      </w:rPr>
    </w:lvl>
  </w:abstractNum>
  <w:abstractNum w:abstractNumId="5" w15:restartNumberingAfterBreak="0">
    <w:nsid w:val="439A3C1C"/>
    <w:multiLevelType w:val="hybridMultilevel"/>
    <w:tmpl w:val="92B6DB4E"/>
    <w:lvl w:ilvl="0" w:tplc="0410000F">
      <w:start w:val="1"/>
      <w:numFmt w:val="decimal"/>
      <w:lvlText w:val="%1."/>
      <w:lvlJc w:val="left"/>
      <w:pPr>
        <w:ind w:left="1140" w:hanging="360"/>
      </w:pPr>
    </w:lvl>
    <w:lvl w:ilvl="1" w:tplc="04100019" w:tentative="1">
      <w:start w:val="1"/>
      <w:numFmt w:val="lowerLetter"/>
      <w:lvlText w:val="%2."/>
      <w:lvlJc w:val="left"/>
      <w:pPr>
        <w:ind w:left="1860" w:hanging="360"/>
      </w:pPr>
    </w:lvl>
    <w:lvl w:ilvl="2" w:tplc="0410001B" w:tentative="1">
      <w:start w:val="1"/>
      <w:numFmt w:val="lowerRoman"/>
      <w:lvlText w:val="%3."/>
      <w:lvlJc w:val="right"/>
      <w:pPr>
        <w:ind w:left="2580" w:hanging="180"/>
      </w:pPr>
    </w:lvl>
    <w:lvl w:ilvl="3" w:tplc="0410000F" w:tentative="1">
      <w:start w:val="1"/>
      <w:numFmt w:val="decimal"/>
      <w:lvlText w:val="%4."/>
      <w:lvlJc w:val="left"/>
      <w:pPr>
        <w:ind w:left="3300" w:hanging="360"/>
      </w:pPr>
    </w:lvl>
    <w:lvl w:ilvl="4" w:tplc="04100019" w:tentative="1">
      <w:start w:val="1"/>
      <w:numFmt w:val="lowerLetter"/>
      <w:lvlText w:val="%5."/>
      <w:lvlJc w:val="left"/>
      <w:pPr>
        <w:ind w:left="4020" w:hanging="360"/>
      </w:pPr>
    </w:lvl>
    <w:lvl w:ilvl="5" w:tplc="0410001B" w:tentative="1">
      <w:start w:val="1"/>
      <w:numFmt w:val="lowerRoman"/>
      <w:lvlText w:val="%6."/>
      <w:lvlJc w:val="right"/>
      <w:pPr>
        <w:ind w:left="4740" w:hanging="180"/>
      </w:pPr>
    </w:lvl>
    <w:lvl w:ilvl="6" w:tplc="0410000F" w:tentative="1">
      <w:start w:val="1"/>
      <w:numFmt w:val="decimal"/>
      <w:lvlText w:val="%7."/>
      <w:lvlJc w:val="left"/>
      <w:pPr>
        <w:ind w:left="5460" w:hanging="360"/>
      </w:pPr>
    </w:lvl>
    <w:lvl w:ilvl="7" w:tplc="04100019" w:tentative="1">
      <w:start w:val="1"/>
      <w:numFmt w:val="lowerLetter"/>
      <w:lvlText w:val="%8."/>
      <w:lvlJc w:val="left"/>
      <w:pPr>
        <w:ind w:left="6180" w:hanging="360"/>
      </w:pPr>
    </w:lvl>
    <w:lvl w:ilvl="8" w:tplc="0410001B" w:tentative="1">
      <w:start w:val="1"/>
      <w:numFmt w:val="lowerRoman"/>
      <w:lvlText w:val="%9."/>
      <w:lvlJc w:val="right"/>
      <w:pPr>
        <w:ind w:left="6900" w:hanging="180"/>
      </w:pPr>
    </w:lvl>
  </w:abstractNum>
  <w:abstractNum w:abstractNumId="6" w15:restartNumberingAfterBreak="0">
    <w:nsid w:val="477C36BA"/>
    <w:multiLevelType w:val="hybridMultilevel"/>
    <w:tmpl w:val="7CA89CFE"/>
    <w:lvl w:ilvl="0" w:tplc="04100017">
      <w:start w:val="1"/>
      <w:numFmt w:val="lowerLetter"/>
      <w:lvlText w:val="%1)"/>
      <w:lvlJc w:val="left"/>
      <w:pPr>
        <w:ind w:left="780" w:hanging="360"/>
      </w:p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num w:numId="1">
    <w:abstractNumId w:val="3"/>
  </w:num>
  <w:num w:numId="2">
    <w:abstractNumId w:val="4"/>
  </w:num>
  <w:num w:numId="3">
    <w:abstractNumId w:val="5"/>
  </w:num>
  <w:num w:numId="4">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27E"/>
    <w:rsid w:val="00A8227E"/>
    <w:rsid w:val="00B77463"/>
    <w:rsid w:val="00BF79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96624"/>
  <w15:chartTrackingRefBased/>
  <w15:docId w15:val="{2F2B1159-CAF3-4BFD-8224-49DC9E666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8227E"/>
    <w:pPr>
      <w:suppressAutoHyphens/>
      <w:spacing w:after="200" w:line="276" w:lineRule="auto"/>
    </w:pPr>
    <w:rPr>
      <w:rFonts w:ascii="Calibri" w:eastAsia="Times New Roman" w:hAnsi="Calibri" w:cs="Times New Roman"/>
      <w:color w:val="00000A"/>
      <w:lang w:val="en-GB"/>
    </w:rPr>
  </w:style>
  <w:style w:type="paragraph" w:styleId="Titolo1">
    <w:name w:val="heading 1"/>
    <w:basedOn w:val="Normale"/>
    <w:next w:val="Corpotesto"/>
    <w:link w:val="Titolo1Carattere"/>
    <w:qFormat/>
    <w:rsid w:val="00A8227E"/>
    <w:pPr>
      <w:keepNext/>
      <w:keepLines/>
      <w:spacing w:before="240" w:after="0"/>
      <w:outlineLvl w:val="0"/>
    </w:pPr>
    <w:rPr>
      <w:rFonts w:ascii="Cambria" w:hAnsi="Cambria" w:cs="font411"/>
      <w:color w:val="365F91"/>
      <w:kern w:val="1"/>
      <w:sz w:val="32"/>
      <w:szCs w:val="32"/>
      <w:lang w:eastAsia="ar-SA"/>
    </w:rPr>
  </w:style>
  <w:style w:type="paragraph" w:styleId="Titolo2">
    <w:name w:val="heading 2"/>
    <w:basedOn w:val="Normale"/>
    <w:next w:val="Normale"/>
    <w:link w:val="Titolo2Carattere"/>
    <w:unhideWhenUsed/>
    <w:qFormat/>
    <w:rsid w:val="00A8227E"/>
    <w:pPr>
      <w:keepNext/>
      <w:spacing w:before="240" w:after="60"/>
      <w:outlineLvl w:val="1"/>
    </w:pPr>
    <w:rPr>
      <w:rFonts w:ascii="Cambria" w:hAnsi="Cambria"/>
      <w:b/>
      <w:bCs/>
      <w:i/>
      <w:iCs/>
      <w:color w:val="auto"/>
      <w:sz w:val="24"/>
      <w:szCs w:val="28"/>
      <w:lang w:bidi="en-US"/>
    </w:rPr>
  </w:style>
  <w:style w:type="paragraph" w:styleId="Titolo3">
    <w:name w:val="heading 3"/>
    <w:basedOn w:val="Normale"/>
    <w:next w:val="Corpotesto"/>
    <w:link w:val="Titolo3Carattere"/>
    <w:uiPriority w:val="99"/>
    <w:qFormat/>
    <w:rsid w:val="00A8227E"/>
    <w:pPr>
      <w:tabs>
        <w:tab w:val="num" w:pos="720"/>
      </w:tabs>
      <w:suppressAutoHyphens w:val="0"/>
      <w:spacing w:before="28" w:after="28" w:line="100" w:lineRule="atLeast"/>
      <w:ind w:left="720" w:hanging="720"/>
      <w:outlineLvl w:val="2"/>
    </w:pPr>
    <w:rPr>
      <w:rFonts w:ascii="Times New Roman" w:hAnsi="Times New Roman"/>
      <w:b/>
      <w:bCs/>
      <w:kern w:val="1"/>
      <w:sz w:val="27"/>
      <w:szCs w:val="27"/>
      <w:lang w:eastAsia="ar-SA"/>
    </w:rPr>
  </w:style>
  <w:style w:type="paragraph" w:styleId="Titolo4">
    <w:name w:val="heading 4"/>
    <w:basedOn w:val="Normale"/>
    <w:next w:val="Corpotesto"/>
    <w:link w:val="Titolo4Carattere"/>
    <w:qFormat/>
    <w:rsid w:val="00A8227E"/>
    <w:pPr>
      <w:keepNext/>
      <w:keepLines/>
      <w:tabs>
        <w:tab w:val="num" w:pos="864"/>
      </w:tabs>
      <w:spacing w:before="40" w:after="0"/>
      <w:ind w:left="864" w:hanging="864"/>
      <w:outlineLvl w:val="3"/>
    </w:pPr>
    <w:rPr>
      <w:rFonts w:ascii="Cambria" w:hAnsi="Cambria" w:cs="font411"/>
      <w:i/>
      <w:iCs/>
      <w:color w:val="365F91"/>
      <w:kern w:val="1"/>
      <w:lang w:eastAsia="ar-SA"/>
    </w:rPr>
  </w:style>
  <w:style w:type="paragraph" w:styleId="Titolo5">
    <w:name w:val="heading 5"/>
    <w:basedOn w:val="Normale"/>
    <w:next w:val="Normale"/>
    <w:link w:val="Titolo5Carattere"/>
    <w:rsid w:val="00A8227E"/>
    <w:pPr>
      <w:keepNext/>
      <w:keepLines/>
      <w:widowControl w:val="0"/>
      <w:pBdr>
        <w:top w:val="nil"/>
        <w:left w:val="nil"/>
        <w:bottom w:val="nil"/>
        <w:right w:val="nil"/>
        <w:between w:val="nil"/>
      </w:pBdr>
      <w:suppressAutoHyphens w:val="0"/>
      <w:spacing w:before="160" w:after="0"/>
      <w:outlineLvl w:val="4"/>
    </w:pPr>
    <w:rPr>
      <w:rFonts w:ascii="Trebuchet MS" w:eastAsia="Trebuchet MS" w:hAnsi="Trebuchet MS" w:cs="Trebuchet MS"/>
      <w:color w:val="666666"/>
      <w:lang w:val="en-US" w:eastAsia="it-IT"/>
    </w:rPr>
  </w:style>
  <w:style w:type="paragraph" w:styleId="Titolo6">
    <w:name w:val="heading 6"/>
    <w:basedOn w:val="Normale"/>
    <w:next w:val="Normale"/>
    <w:link w:val="Titolo6Carattere"/>
    <w:uiPriority w:val="9"/>
    <w:qFormat/>
    <w:rsid w:val="00A8227E"/>
    <w:pPr>
      <w:keepNext/>
      <w:keepLines/>
      <w:widowControl w:val="0"/>
      <w:pBdr>
        <w:top w:val="nil"/>
        <w:left w:val="nil"/>
        <w:bottom w:val="nil"/>
        <w:right w:val="nil"/>
        <w:between w:val="nil"/>
      </w:pBdr>
      <w:suppressAutoHyphens w:val="0"/>
      <w:spacing w:before="160" w:after="0"/>
      <w:outlineLvl w:val="5"/>
    </w:pPr>
    <w:rPr>
      <w:rFonts w:ascii="Trebuchet MS" w:eastAsia="Trebuchet MS" w:hAnsi="Trebuchet MS" w:cs="Trebuchet MS"/>
      <w:i/>
      <w:color w:val="666666"/>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A8227E"/>
    <w:rPr>
      <w:rFonts w:ascii="Cambria" w:eastAsia="Times New Roman" w:hAnsi="Cambria" w:cs="font411"/>
      <w:color w:val="365F91"/>
      <w:kern w:val="1"/>
      <w:sz w:val="32"/>
      <w:szCs w:val="32"/>
      <w:lang w:val="en-GB" w:eastAsia="ar-SA"/>
    </w:rPr>
  </w:style>
  <w:style w:type="character" w:customStyle="1" w:styleId="Titolo2Carattere">
    <w:name w:val="Titolo 2 Carattere"/>
    <w:basedOn w:val="Carpredefinitoparagrafo"/>
    <w:link w:val="Titolo2"/>
    <w:rsid w:val="00A8227E"/>
    <w:rPr>
      <w:rFonts w:ascii="Cambria" w:eastAsia="Times New Roman" w:hAnsi="Cambria" w:cs="Times New Roman"/>
      <w:b/>
      <w:bCs/>
      <w:i/>
      <w:iCs/>
      <w:sz w:val="24"/>
      <w:szCs w:val="28"/>
      <w:lang w:val="en-GB" w:bidi="en-US"/>
    </w:rPr>
  </w:style>
  <w:style w:type="character" w:customStyle="1" w:styleId="Titolo3Carattere">
    <w:name w:val="Titolo 3 Carattere"/>
    <w:basedOn w:val="Carpredefinitoparagrafo"/>
    <w:link w:val="Titolo3"/>
    <w:uiPriority w:val="99"/>
    <w:rsid w:val="00A8227E"/>
    <w:rPr>
      <w:rFonts w:ascii="Times New Roman" w:eastAsia="Times New Roman" w:hAnsi="Times New Roman" w:cs="Times New Roman"/>
      <w:b/>
      <w:bCs/>
      <w:color w:val="00000A"/>
      <w:kern w:val="1"/>
      <w:sz w:val="27"/>
      <w:szCs w:val="27"/>
      <w:lang w:val="en-GB" w:eastAsia="ar-SA"/>
    </w:rPr>
  </w:style>
  <w:style w:type="character" w:customStyle="1" w:styleId="Titolo4Carattere">
    <w:name w:val="Titolo 4 Carattere"/>
    <w:basedOn w:val="Carpredefinitoparagrafo"/>
    <w:link w:val="Titolo4"/>
    <w:rsid w:val="00A8227E"/>
    <w:rPr>
      <w:rFonts w:ascii="Cambria" w:eastAsia="Times New Roman" w:hAnsi="Cambria" w:cs="font411"/>
      <w:i/>
      <w:iCs/>
      <w:color w:val="365F91"/>
      <w:kern w:val="1"/>
      <w:lang w:val="en-GB" w:eastAsia="ar-SA"/>
    </w:rPr>
  </w:style>
  <w:style w:type="character" w:customStyle="1" w:styleId="Titolo5Carattere">
    <w:name w:val="Titolo 5 Carattere"/>
    <w:basedOn w:val="Carpredefinitoparagrafo"/>
    <w:link w:val="Titolo5"/>
    <w:rsid w:val="00A8227E"/>
    <w:rPr>
      <w:rFonts w:ascii="Trebuchet MS" w:eastAsia="Trebuchet MS" w:hAnsi="Trebuchet MS" w:cs="Trebuchet MS"/>
      <w:color w:val="666666"/>
      <w:lang w:val="en-US" w:eastAsia="it-IT"/>
    </w:rPr>
  </w:style>
  <w:style w:type="character" w:customStyle="1" w:styleId="Titolo6Carattere">
    <w:name w:val="Titolo 6 Carattere"/>
    <w:basedOn w:val="Carpredefinitoparagrafo"/>
    <w:link w:val="Titolo6"/>
    <w:uiPriority w:val="9"/>
    <w:rsid w:val="00A8227E"/>
    <w:rPr>
      <w:rFonts w:ascii="Trebuchet MS" w:eastAsia="Trebuchet MS" w:hAnsi="Trebuchet MS" w:cs="Trebuchet MS"/>
      <w:i/>
      <w:color w:val="666666"/>
      <w:lang w:val="en-US" w:eastAsia="it-IT"/>
    </w:rPr>
  </w:style>
  <w:style w:type="paragraph" w:styleId="Corpotesto">
    <w:name w:val="Body Text"/>
    <w:basedOn w:val="Normale"/>
    <w:link w:val="CorpotestoCarattere1"/>
    <w:uiPriority w:val="99"/>
    <w:rsid w:val="00A8227E"/>
    <w:pPr>
      <w:spacing w:after="120"/>
    </w:pPr>
    <w:rPr>
      <w:kern w:val="1"/>
      <w:lang w:eastAsia="ar-SA"/>
    </w:rPr>
  </w:style>
  <w:style w:type="character" w:customStyle="1" w:styleId="CorpotestoCarattere">
    <w:name w:val="Corpo testo Carattere"/>
    <w:basedOn w:val="Carpredefinitoparagrafo"/>
    <w:link w:val="1"/>
    <w:uiPriority w:val="99"/>
    <w:rsid w:val="00A8227E"/>
    <w:rPr>
      <w:rFonts w:ascii="Calibri" w:eastAsia="Times New Roman" w:hAnsi="Calibri" w:cs="Times New Roman"/>
      <w:color w:val="00000A"/>
      <w:lang w:val="en-GB"/>
    </w:rPr>
  </w:style>
  <w:style w:type="character" w:customStyle="1" w:styleId="CorpotestoCarattere1">
    <w:name w:val="Corpo testo Carattere1"/>
    <w:basedOn w:val="Carpredefinitoparagrafo"/>
    <w:link w:val="Corpotesto"/>
    <w:uiPriority w:val="99"/>
    <w:rsid w:val="00A8227E"/>
    <w:rPr>
      <w:rFonts w:ascii="Calibri" w:eastAsia="Times New Roman" w:hAnsi="Calibri" w:cs="Times New Roman"/>
      <w:color w:val="00000A"/>
      <w:kern w:val="1"/>
      <w:lang w:val="en-GB" w:eastAsia="ar-SA"/>
    </w:rPr>
  </w:style>
  <w:style w:type="paragraph" w:customStyle="1" w:styleId="1">
    <w:name w:val="1"/>
    <w:basedOn w:val="Normale"/>
    <w:next w:val="Corpotesto"/>
    <w:link w:val="CorpotestoCarattere"/>
    <w:uiPriority w:val="99"/>
    <w:rsid w:val="00A8227E"/>
    <w:pPr>
      <w:spacing w:after="120"/>
    </w:pPr>
  </w:style>
  <w:style w:type="character" w:styleId="Rimandonotaapidipagina">
    <w:name w:val="footnote reference"/>
    <w:uiPriority w:val="99"/>
    <w:unhideWhenUsed/>
    <w:rsid w:val="00A8227E"/>
    <w:rPr>
      <w:sz w:val="20"/>
      <w:vertAlign w:val="superscript"/>
    </w:rPr>
  </w:style>
  <w:style w:type="character" w:styleId="Rimandocommento">
    <w:name w:val="annotation reference"/>
    <w:uiPriority w:val="99"/>
    <w:unhideWhenUsed/>
    <w:rsid w:val="00A8227E"/>
    <w:rPr>
      <w:sz w:val="16"/>
      <w:szCs w:val="16"/>
    </w:rPr>
  </w:style>
  <w:style w:type="paragraph" w:styleId="Intestazione">
    <w:name w:val="header"/>
    <w:basedOn w:val="Normale"/>
    <w:link w:val="IntestazioneCarattere"/>
    <w:uiPriority w:val="99"/>
    <w:unhideWhenUsed/>
    <w:rsid w:val="00A8227E"/>
    <w:pPr>
      <w:tabs>
        <w:tab w:val="center" w:pos="4819"/>
        <w:tab w:val="right" w:pos="9638"/>
      </w:tabs>
    </w:pPr>
  </w:style>
  <w:style w:type="character" w:customStyle="1" w:styleId="IntestazioneCarattere">
    <w:name w:val="Intestazione Carattere"/>
    <w:basedOn w:val="Carpredefinitoparagrafo"/>
    <w:link w:val="Intestazione"/>
    <w:uiPriority w:val="99"/>
    <w:rsid w:val="00A8227E"/>
    <w:rPr>
      <w:rFonts w:ascii="Calibri" w:eastAsia="Times New Roman" w:hAnsi="Calibri" w:cs="Times New Roman"/>
      <w:color w:val="00000A"/>
      <w:lang w:val="en-GB"/>
    </w:rPr>
  </w:style>
  <w:style w:type="character" w:styleId="Numeropagina">
    <w:name w:val="page number"/>
    <w:uiPriority w:val="99"/>
    <w:unhideWhenUsed/>
    <w:rsid w:val="00A8227E"/>
  </w:style>
  <w:style w:type="paragraph" w:customStyle="1" w:styleId="h1">
    <w:name w:val="h1"/>
    <w:basedOn w:val="Normale"/>
    <w:link w:val="h1Char"/>
    <w:rsid w:val="00A8227E"/>
    <w:pPr>
      <w:keepNext/>
      <w:spacing w:before="280" w:after="180" w:line="240" w:lineRule="auto"/>
      <w:jc w:val="center"/>
    </w:pPr>
    <w:rPr>
      <w:rFonts w:ascii="Times New Roman" w:hAnsi="Times New Roman"/>
      <w:smallCaps/>
      <w:sz w:val="32"/>
      <w:szCs w:val="32"/>
    </w:rPr>
  </w:style>
  <w:style w:type="character" w:customStyle="1" w:styleId="h1Char">
    <w:name w:val="h1 Char"/>
    <w:link w:val="h1"/>
    <w:rsid w:val="00A8227E"/>
    <w:rPr>
      <w:rFonts w:ascii="Times New Roman" w:eastAsia="Times New Roman" w:hAnsi="Times New Roman" w:cs="Times New Roman"/>
      <w:smallCaps/>
      <w:color w:val="00000A"/>
      <w:sz w:val="32"/>
      <w:szCs w:val="32"/>
      <w:lang w:val="en-GB"/>
    </w:rPr>
  </w:style>
  <w:style w:type="paragraph" w:customStyle="1" w:styleId="h2">
    <w:name w:val="h2"/>
    <w:basedOn w:val="Normale"/>
    <w:link w:val="h2Char"/>
    <w:rsid w:val="00A8227E"/>
    <w:pPr>
      <w:keepNext/>
      <w:spacing w:before="280" w:after="180" w:line="240" w:lineRule="auto"/>
      <w:jc w:val="center"/>
    </w:pPr>
    <w:rPr>
      <w:rFonts w:ascii="Times New Roman" w:hAnsi="Times New Roman"/>
      <w:b/>
      <w:sz w:val="24"/>
      <w:szCs w:val="24"/>
    </w:rPr>
  </w:style>
  <w:style w:type="character" w:customStyle="1" w:styleId="h2Char">
    <w:name w:val="h2 Char"/>
    <w:link w:val="h2"/>
    <w:rsid w:val="00A8227E"/>
    <w:rPr>
      <w:rFonts w:ascii="Times New Roman" w:eastAsia="Times New Roman" w:hAnsi="Times New Roman" w:cs="Times New Roman"/>
      <w:b/>
      <w:color w:val="00000A"/>
      <w:sz w:val="24"/>
      <w:szCs w:val="24"/>
      <w:lang w:val="en-GB"/>
    </w:rPr>
  </w:style>
  <w:style w:type="paragraph" w:styleId="Testonotaapidipagina">
    <w:name w:val="footnote text"/>
    <w:basedOn w:val="Normale"/>
    <w:link w:val="TestonotaapidipaginaCarattere"/>
    <w:uiPriority w:val="99"/>
    <w:rsid w:val="00A8227E"/>
    <w:pPr>
      <w:suppressAutoHyphens w:val="0"/>
      <w:spacing w:after="0" w:line="240" w:lineRule="auto"/>
    </w:pPr>
    <w:rPr>
      <w:rFonts w:ascii="Times New Roman" w:hAnsi="Times New Roman"/>
      <w:color w:val="auto"/>
      <w:sz w:val="20"/>
      <w:szCs w:val="20"/>
      <w:lang w:eastAsia="it-IT"/>
    </w:rPr>
  </w:style>
  <w:style w:type="character" w:customStyle="1" w:styleId="TestonotaapidipaginaCarattere">
    <w:name w:val="Testo nota a piè di pagina Carattere"/>
    <w:basedOn w:val="Carpredefinitoparagrafo"/>
    <w:link w:val="Testonotaapidipagina"/>
    <w:uiPriority w:val="99"/>
    <w:rsid w:val="00A8227E"/>
    <w:rPr>
      <w:rFonts w:ascii="Times New Roman" w:eastAsia="Times New Roman" w:hAnsi="Times New Roman" w:cs="Times New Roman"/>
      <w:sz w:val="20"/>
      <w:szCs w:val="20"/>
      <w:lang w:val="en-GB" w:eastAsia="it-IT"/>
    </w:rPr>
  </w:style>
  <w:style w:type="character" w:customStyle="1" w:styleId="style171">
    <w:name w:val="style171"/>
    <w:rsid w:val="00A8227E"/>
    <w:rPr>
      <w:rFonts w:ascii="Arial" w:hAnsi="Arial" w:cs="Arial" w:hint="default"/>
      <w:color w:val="000000"/>
      <w:sz w:val="27"/>
      <w:szCs w:val="27"/>
    </w:rPr>
  </w:style>
  <w:style w:type="paragraph" w:styleId="Nessunaspaziatura">
    <w:name w:val="No Spacing"/>
    <w:uiPriority w:val="1"/>
    <w:qFormat/>
    <w:rsid w:val="00A8227E"/>
    <w:pPr>
      <w:spacing w:after="0" w:line="240" w:lineRule="auto"/>
    </w:pPr>
    <w:rPr>
      <w:rFonts w:ascii="Calibri" w:eastAsia="Calibri" w:hAnsi="Calibri" w:cs="Times New Roman"/>
    </w:rPr>
  </w:style>
  <w:style w:type="character" w:customStyle="1" w:styleId="Carpredefinitoparagrafo1">
    <w:name w:val="Car. predefinito paragrafo1"/>
    <w:rsid w:val="00A8227E"/>
  </w:style>
  <w:style w:type="character" w:customStyle="1" w:styleId="ListLabel1">
    <w:name w:val="ListLabel 1"/>
    <w:uiPriority w:val="99"/>
    <w:rsid w:val="00A8227E"/>
    <w:rPr>
      <w:rFonts w:eastAsia="Times New Roman"/>
    </w:rPr>
  </w:style>
  <w:style w:type="character" w:customStyle="1" w:styleId="ListLabel2">
    <w:name w:val="ListLabel 2"/>
    <w:uiPriority w:val="99"/>
    <w:rsid w:val="00A8227E"/>
  </w:style>
  <w:style w:type="character" w:customStyle="1" w:styleId="ListLabel3">
    <w:name w:val="ListLabel 3"/>
    <w:uiPriority w:val="99"/>
    <w:rsid w:val="00A8227E"/>
  </w:style>
  <w:style w:type="character" w:customStyle="1" w:styleId="ListLabel4">
    <w:name w:val="ListLabel 4"/>
    <w:uiPriority w:val="99"/>
    <w:rsid w:val="00A8227E"/>
  </w:style>
  <w:style w:type="character" w:customStyle="1" w:styleId="ListLabel5">
    <w:name w:val="ListLabel 5"/>
    <w:uiPriority w:val="99"/>
    <w:rsid w:val="00A8227E"/>
  </w:style>
  <w:style w:type="character" w:customStyle="1" w:styleId="TitoloCarattere">
    <w:name w:val="Titolo Carattere"/>
    <w:uiPriority w:val="99"/>
    <w:rsid w:val="00A8227E"/>
    <w:rPr>
      <w:rFonts w:ascii="Cambria" w:hAnsi="Cambria" w:cs="Times New Roman"/>
      <w:b/>
      <w:bCs/>
      <w:color w:val="00000A"/>
      <w:kern w:val="1"/>
      <w:sz w:val="32"/>
      <w:szCs w:val="32"/>
    </w:rPr>
  </w:style>
  <w:style w:type="character" w:styleId="Collegamentoipertestuale">
    <w:name w:val="Hyperlink"/>
    <w:uiPriority w:val="99"/>
    <w:rsid w:val="00A8227E"/>
    <w:rPr>
      <w:rFonts w:cs="Times New Roman"/>
      <w:color w:val="0000FF"/>
      <w:u w:val="single"/>
    </w:rPr>
  </w:style>
  <w:style w:type="character" w:customStyle="1" w:styleId="apple-converted-space">
    <w:name w:val="apple-converted-space"/>
    <w:uiPriority w:val="99"/>
    <w:rsid w:val="00A8227E"/>
    <w:rPr>
      <w:rFonts w:cs="Times New Roman"/>
    </w:rPr>
  </w:style>
  <w:style w:type="character" w:styleId="Enfasigrassetto">
    <w:name w:val="Strong"/>
    <w:uiPriority w:val="22"/>
    <w:qFormat/>
    <w:rsid w:val="00A8227E"/>
    <w:rPr>
      <w:rFonts w:cs="Times New Roman"/>
      <w:b/>
      <w:bCs/>
    </w:rPr>
  </w:style>
  <w:style w:type="character" w:customStyle="1" w:styleId="TestonotadichiusuraCarattere">
    <w:name w:val="Testo nota di chiusura Carattere"/>
    <w:link w:val="Testonotadichiusura"/>
    <w:uiPriority w:val="99"/>
    <w:semiHidden/>
    <w:rsid w:val="00A8227E"/>
    <w:rPr>
      <w:rFonts w:cs="Times New Roman"/>
      <w:color w:val="00000A"/>
      <w:sz w:val="20"/>
      <w:szCs w:val="20"/>
    </w:rPr>
  </w:style>
  <w:style w:type="paragraph" w:styleId="Testonotadichiusura">
    <w:name w:val="endnote text"/>
    <w:basedOn w:val="Normale"/>
    <w:link w:val="TestonotadichiusuraCarattere"/>
    <w:uiPriority w:val="99"/>
    <w:semiHidden/>
    <w:rsid w:val="00A8227E"/>
    <w:pPr>
      <w:suppressAutoHyphens w:val="0"/>
      <w:spacing w:after="0" w:line="240" w:lineRule="auto"/>
    </w:pPr>
    <w:rPr>
      <w:rFonts w:asciiTheme="minorHAnsi" w:eastAsiaTheme="minorHAnsi" w:hAnsiTheme="minorHAnsi"/>
      <w:sz w:val="20"/>
      <w:szCs w:val="20"/>
      <w:lang w:val="it-IT"/>
    </w:rPr>
  </w:style>
  <w:style w:type="character" w:customStyle="1" w:styleId="TestonotadichiusuraCarattere1">
    <w:name w:val="Testo nota di chiusura Carattere1"/>
    <w:basedOn w:val="Carpredefinitoparagrafo"/>
    <w:uiPriority w:val="99"/>
    <w:semiHidden/>
    <w:rsid w:val="00A8227E"/>
    <w:rPr>
      <w:rFonts w:ascii="Calibri" w:eastAsia="Times New Roman" w:hAnsi="Calibri" w:cs="Times New Roman"/>
      <w:color w:val="00000A"/>
      <w:sz w:val="20"/>
      <w:szCs w:val="20"/>
      <w:lang w:val="en-GB"/>
    </w:rPr>
  </w:style>
  <w:style w:type="character" w:customStyle="1" w:styleId="a">
    <w:name w:val="a"/>
    <w:rsid w:val="00A8227E"/>
    <w:rPr>
      <w:rFonts w:cs="Times New Roman"/>
    </w:rPr>
  </w:style>
  <w:style w:type="character" w:customStyle="1" w:styleId="value">
    <w:name w:val="value"/>
    <w:basedOn w:val="Carpredefinitoparagrafo1"/>
    <w:rsid w:val="00A8227E"/>
  </w:style>
  <w:style w:type="character" w:customStyle="1" w:styleId="reveal-action-text">
    <w:name w:val="reveal-action-text"/>
    <w:basedOn w:val="Carpredefinitoparagrafo1"/>
    <w:rsid w:val="00A8227E"/>
  </w:style>
  <w:style w:type="character" w:customStyle="1" w:styleId="label-a11y">
    <w:name w:val="label-a11y"/>
    <w:basedOn w:val="Carpredefinitoparagrafo1"/>
    <w:rsid w:val="00A8227E"/>
  </w:style>
  <w:style w:type="character" w:styleId="Enfasicorsivo">
    <w:name w:val="Emphasis"/>
    <w:uiPriority w:val="20"/>
    <w:qFormat/>
    <w:rsid w:val="00A8227E"/>
    <w:rPr>
      <w:i/>
      <w:iCs/>
    </w:rPr>
  </w:style>
  <w:style w:type="character" w:customStyle="1" w:styleId="A11">
    <w:name w:val="A11"/>
    <w:rsid w:val="00A8227E"/>
    <w:rPr>
      <w:rFonts w:cs="Helvetica Neue LT Std"/>
      <w:color w:val="000000"/>
      <w:sz w:val="23"/>
      <w:szCs w:val="23"/>
    </w:rPr>
  </w:style>
  <w:style w:type="character" w:customStyle="1" w:styleId="A39">
    <w:name w:val="A39"/>
    <w:rsid w:val="00A8227E"/>
    <w:rPr>
      <w:rFonts w:cs="HelveticaNeueLT Std Cn"/>
      <w:b/>
      <w:bCs/>
      <w:color w:val="000000"/>
      <w:sz w:val="45"/>
      <w:szCs w:val="45"/>
    </w:rPr>
  </w:style>
  <w:style w:type="character" w:customStyle="1" w:styleId="A55">
    <w:name w:val="A55"/>
    <w:rsid w:val="00A8227E"/>
    <w:rPr>
      <w:rFonts w:cs="Helvetica Neue LT Std"/>
      <w:color w:val="000000"/>
      <w:sz w:val="35"/>
      <w:szCs w:val="35"/>
    </w:rPr>
  </w:style>
  <w:style w:type="character" w:customStyle="1" w:styleId="A56">
    <w:name w:val="A56"/>
    <w:rsid w:val="00A8227E"/>
    <w:rPr>
      <w:rFonts w:cs="Helvetica Neue LT Std"/>
      <w:color w:val="000000"/>
      <w:sz w:val="23"/>
      <w:szCs w:val="23"/>
    </w:rPr>
  </w:style>
  <w:style w:type="character" w:customStyle="1" w:styleId="Rimandonotaapidipagina1">
    <w:name w:val="Rimando nota a piè di pagina1"/>
    <w:rsid w:val="00A8227E"/>
    <w:rPr>
      <w:vertAlign w:val="superscript"/>
    </w:rPr>
  </w:style>
  <w:style w:type="character" w:customStyle="1" w:styleId="Collegamentovisitato1">
    <w:name w:val="Collegamento visitato1"/>
    <w:rsid w:val="00A8227E"/>
    <w:rPr>
      <w:color w:val="800080"/>
      <w:u w:val="single"/>
    </w:rPr>
  </w:style>
  <w:style w:type="character" w:customStyle="1" w:styleId="PidipaginaCarattere">
    <w:name w:val="Piè di pagina Carattere"/>
    <w:uiPriority w:val="99"/>
    <w:rsid w:val="00A8227E"/>
    <w:rPr>
      <w:color w:val="00000A"/>
      <w:sz w:val="22"/>
      <w:szCs w:val="22"/>
    </w:rPr>
  </w:style>
  <w:style w:type="character" w:customStyle="1" w:styleId="TestofumettoCarattere">
    <w:name w:val="Testo fumetto Carattere"/>
    <w:uiPriority w:val="99"/>
    <w:rsid w:val="00A8227E"/>
    <w:rPr>
      <w:rFonts w:ascii="Segoe UI" w:hAnsi="Segoe UI" w:cs="Segoe UI"/>
      <w:color w:val="00000A"/>
      <w:sz w:val="18"/>
      <w:szCs w:val="18"/>
    </w:rPr>
  </w:style>
  <w:style w:type="character" w:customStyle="1" w:styleId="A3">
    <w:name w:val="A3"/>
    <w:rsid w:val="00A8227E"/>
    <w:rPr>
      <w:color w:val="000000"/>
      <w:sz w:val="38"/>
      <w:szCs w:val="38"/>
    </w:rPr>
  </w:style>
  <w:style w:type="character" w:customStyle="1" w:styleId="A1">
    <w:name w:val="A1"/>
    <w:rsid w:val="00A8227E"/>
    <w:rPr>
      <w:b/>
      <w:bCs/>
      <w:color w:val="000000"/>
      <w:sz w:val="26"/>
      <w:szCs w:val="26"/>
    </w:rPr>
  </w:style>
  <w:style w:type="character" w:customStyle="1" w:styleId="company">
    <w:name w:val="company"/>
    <w:basedOn w:val="Carpredefinitoparagrafo1"/>
    <w:rsid w:val="00A8227E"/>
  </w:style>
  <w:style w:type="character" w:customStyle="1" w:styleId="maintitle">
    <w:name w:val="maintitle"/>
    <w:rsid w:val="00A8227E"/>
  </w:style>
  <w:style w:type="character" w:customStyle="1" w:styleId="ListLabel6">
    <w:name w:val="ListLabel 6"/>
    <w:rsid w:val="00A8227E"/>
    <w:rPr>
      <w:rFonts w:cs="Times New Roman"/>
    </w:rPr>
  </w:style>
  <w:style w:type="character" w:customStyle="1" w:styleId="ListLabel7">
    <w:name w:val="ListLabel 7"/>
    <w:rsid w:val="00A8227E"/>
    <w:rPr>
      <w:sz w:val="20"/>
    </w:rPr>
  </w:style>
  <w:style w:type="character" w:customStyle="1" w:styleId="ListLabel8">
    <w:name w:val="ListLabel 8"/>
    <w:rsid w:val="00A8227E"/>
    <w:rPr>
      <w:rFonts w:eastAsia="Times New Roman" w:cs="Times New Roman"/>
    </w:rPr>
  </w:style>
  <w:style w:type="character" w:customStyle="1" w:styleId="ListLabel9">
    <w:name w:val="ListLabel 9"/>
    <w:rsid w:val="00A8227E"/>
    <w:rPr>
      <w:rFonts w:cs="Courier New"/>
    </w:rPr>
  </w:style>
  <w:style w:type="character" w:customStyle="1" w:styleId="ListLabel10">
    <w:name w:val="ListLabel 10"/>
    <w:rsid w:val="00A8227E"/>
    <w:rPr>
      <w:rFonts w:cs="OpenSymbol"/>
    </w:rPr>
  </w:style>
  <w:style w:type="character" w:customStyle="1" w:styleId="Caratteredellanota">
    <w:name w:val="Carattere della nota"/>
    <w:rsid w:val="00A8227E"/>
  </w:style>
  <w:style w:type="character" w:styleId="Rimandonotadichiusura">
    <w:name w:val="endnote reference"/>
    <w:rsid w:val="00A8227E"/>
    <w:rPr>
      <w:vertAlign w:val="superscript"/>
    </w:rPr>
  </w:style>
  <w:style w:type="character" w:customStyle="1" w:styleId="Caratterenotadichiusura">
    <w:name w:val="Carattere nota di chiusura"/>
    <w:rsid w:val="00A8227E"/>
  </w:style>
  <w:style w:type="paragraph" w:customStyle="1" w:styleId="Intestazione1">
    <w:name w:val="Intestazione1"/>
    <w:basedOn w:val="Normale"/>
    <w:next w:val="Corpotesto"/>
    <w:rsid w:val="00A8227E"/>
    <w:pPr>
      <w:keepNext/>
      <w:spacing w:before="240" w:after="120"/>
    </w:pPr>
    <w:rPr>
      <w:rFonts w:ascii="Arial" w:eastAsia="Microsoft YaHei" w:hAnsi="Arial" w:cs="Mangal"/>
      <w:kern w:val="1"/>
      <w:sz w:val="28"/>
      <w:szCs w:val="28"/>
      <w:lang w:eastAsia="ar-SA"/>
    </w:rPr>
  </w:style>
  <w:style w:type="paragraph" w:styleId="Elenco">
    <w:name w:val="List"/>
    <w:basedOn w:val="Corpotesto"/>
    <w:uiPriority w:val="99"/>
    <w:rsid w:val="00A8227E"/>
    <w:rPr>
      <w:rFonts w:cs="Mangal"/>
    </w:rPr>
  </w:style>
  <w:style w:type="paragraph" w:customStyle="1" w:styleId="Didascalia1">
    <w:name w:val="Didascalia1"/>
    <w:basedOn w:val="Normale"/>
    <w:rsid w:val="00A8227E"/>
    <w:pPr>
      <w:suppressLineNumbers/>
      <w:spacing w:before="120" w:after="120"/>
    </w:pPr>
    <w:rPr>
      <w:rFonts w:cs="Mangal"/>
      <w:i/>
      <w:iCs/>
      <w:kern w:val="1"/>
      <w:sz w:val="24"/>
      <w:szCs w:val="24"/>
      <w:lang w:eastAsia="ar-SA"/>
    </w:rPr>
  </w:style>
  <w:style w:type="paragraph" w:customStyle="1" w:styleId="Indice">
    <w:name w:val="Indice"/>
    <w:basedOn w:val="Normale"/>
    <w:uiPriority w:val="99"/>
    <w:rsid w:val="00A8227E"/>
    <w:pPr>
      <w:suppressLineNumbers/>
    </w:pPr>
    <w:rPr>
      <w:rFonts w:cs="Mangal"/>
      <w:kern w:val="1"/>
      <w:lang w:eastAsia="ar-SA"/>
    </w:rPr>
  </w:style>
  <w:style w:type="paragraph" w:styleId="Titolo">
    <w:name w:val="Title"/>
    <w:basedOn w:val="Normale"/>
    <w:next w:val="Sottotitolo"/>
    <w:link w:val="TitoloCarattere1"/>
    <w:uiPriority w:val="99"/>
    <w:qFormat/>
    <w:rsid w:val="00A8227E"/>
    <w:pPr>
      <w:keepNext/>
      <w:spacing w:before="240" w:after="120"/>
      <w:jc w:val="center"/>
    </w:pPr>
    <w:rPr>
      <w:rFonts w:ascii="Arial" w:hAnsi="Arial" w:cs="Mangal"/>
      <w:b/>
      <w:bCs/>
      <w:kern w:val="1"/>
      <w:sz w:val="28"/>
      <w:szCs w:val="28"/>
      <w:lang w:eastAsia="ar-SA"/>
    </w:rPr>
  </w:style>
  <w:style w:type="character" w:customStyle="1" w:styleId="TitoloCarattere1">
    <w:name w:val="Titolo Carattere1"/>
    <w:basedOn w:val="Carpredefinitoparagrafo"/>
    <w:link w:val="Titolo"/>
    <w:uiPriority w:val="99"/>
    <w:rsid w:val="00A8227E"/>
    <w:rPr>
      <w:rFonts w:ascii="Arial" w:eastAsia="Times New Roman" w:hAnsi="Arial" w:cs="Mangal"/>
      <w:b/>
      <w:bCs/>
      <w:color w:val="00000A"/>
      <w:kern w:val="1"/>
      <w:sz w:val="28"/>
      <w:szCs w:val="28"/>
      <w:lang w:val="en-GB" w:eastAsia="ar-SA"/>
    </w:rPr>
  </w:style>
  <w:style w:type="paragraph" w:styleId="Sottotitolo">
    <w:name w:val="Subtitle"/>
    <w:basedOn w:val="Intestazione1"/>
    <w:next w:val="Corpotesto"/>
    <w:link w:val="SottotitoloCarattere"/>
    <w:qFormat/>
    <w:rsid w:val="00A8227E"/>
    <w:pPr>
      <w:jc w:val="center"/>
    </w:pPr>
    <w:rPr>
      <w:i/>
      <w:iCs/>
    </w:rPr>
  </w:style>
  <w:style w:type="character" w:customStyle="1" w:styleId="SottotitoloCarattere">
    <w:name w:val="Sottotitolo Carattere"/>
    <w:basedOn w:val="Carpredefinitoparagrafo"/>
    <w:link w:val="Sottotitolo"/>
    <w:rsid w:val="00A8227E"/>
    <w:rPr>
      <w:rFonts w:ascii="Arial" w:eastAsia="Microsoft YaHei" w:hAnsi="Arial" w:cs="Mangal"/>
      <w:i/>
      <w:iCs/>
      <w:color w:val="00000A"/>
      <w:kern w:val="1"/>
      <w:sz w:val="28"/>
      <w:szCs w:val="28"/>
      <w:lang w:val="en-GB" w:eastAsia="ar-SA"/>
    </w:rPr>
  </w:style>
  <w:style w:type="paragraph" w:customStyle="1" w:styleId="Didascalia2">
    <w:name w:val="Didascalia2"/>
    <w:basedOn w:val="Normale"/>
    <w:rsid w:val="00A8227E"/>
    <w:pPr>
      <w:suppressLineNumbers/>
      <w:spacing w:before="120" w:after="120"/>
    </w:pPr>
    <w:rPr>
      <w:rFonts w:cs="Mangal"/>
      <w:i/>
      <w:iCs/>
      <w:kern w:val="1"/>
      <w:sz w:val="24"/>
      <w:szCs w:val="24"/>
      <w:lang w:eastAsia="ar-SA"/>
    </w:rPr>
  </w:style>
  <w:style w:type="paragraph" w:customStyle="1" w:styleId="Paragrafoelenco1">
    <w:name w:val="Paragrafo elenco1"/>
    <w:basedOn w:val="Normale"/>
    <w:rsid w:val="00A8227E"/>
    <w:pPr>
      <w:ind w:left="720"/>
    </w:pPr>
    <w:rPr>
      <w:kern w:val="1"/>
      <w:lang w:eastAsia="ar-SA"/>
    </w:rPr>
  </w:style>
  <w:style w:type="paragraph" w:customStyle="1" w:styleId="western">
    <w:name w:val="western"/>
    <w:basedOn w:val="Normale"/>
    <w:uiPriority w:val="99"/>
    <w:rsid w:val="00A8227E"/>
    <w:pPr>
      <w:suppressAutoHyphens w:val="0"/>
      <w:spacing w:before="28" w:after="119" w:line="100" w:lineRule="atLeast"/>
    </w:pPr>
    <w:rPr>
      <w:rFonts w:ascii="Times New Roman" w:hAnsi="Times New Roman"/>
      <w:color w:val="000000"/>
      <w:kern w:val="1"/>
      <w:sz w:val="24"/>
      <w:szCs w:val="24"/>
      <w:lang w:eastAsia="ar-SA"/>
    </w:rPr>
  </w:style>
  <w:style w:type="paragraph" w:customStyle="1" w:styleId="NormaleWeb1">
    <w:name w:val="Normale (Web)1"/>
    <w:basedOn w:val="Normale"/>
    <w:rsid w:val="00A8227E"/>
    <w:pPr>
      <w:suppressAutoHyphens w:val="0"/>
      <w:spacing w:before="28" w:after="28" w:line="100" w:lineRule="atLeast"/>
    </w:pPr>
    <w:rPr>
      <w:rFonts w:ascii="Times New Roman" w:hAnsi="Times New Roman"/>
      <w:kern w:val="1"/>
      <w:sz w:val="24"/>
      <w:szCs w:val="24"/>
      <w:lang w:eastAsia="ar-SA"/>
    </w:rPr>
  </w:style>
  <w:style w:type="paragraph" w:customStyle="1" w:styleId="testo">
    <w:name w:val="testo"/>
    <w:basedOn w:val="Normale"/>
    <w:uiPriority w:val="99"/>
    <w:rsid w:val="00A8227E"/>
    <w:pPr>
      <w:suppressAutoHyphens w:val="0"/>
      <w:spacing w:after="0" w:line="100" w:lineRule="atLeast"/>
      <w:jc w:val="both"/>
    </w:pPr>
    <w:rPr>
      <w:rFonts w:ascii="Verdana" w:hAnsi="Verdana"/>
      <w:color w:val="000000"/>
      <w:kern w:val="1"/>
      <w:sz w:val="20"/>
      <w:szCs w:val="20"/>
      <w:lang w:eastAsia="ar-SA"/>
    </w:rPr>
  </w:style>
  <w:style w:type="paragraph" w:customStyle="1" w:styleId="Default">
    <w:name w:val="Default"/>
    <w:rsid w:val="00A8227E"/>
    <w:pPr>
      <w:suppressAutoHyphens/>
      <w:spacing w:after="0" w:line="240" w:lineRule="auto"/>
    </w:pPr>
    <w:rPr>
      <w:rFonts w:ascii="Verdana" w:eastAsia="Times New Roman" w:hAnsi="Verdana" w:cs="Verdana"/>
      <w:color w:val="000000"/>
      <w:kern w:val="1"/>
      <w:sz w:val="24"/>
      <w:szCs w:val="24"/>
      <w:lang w:eastAsia="ar-SA"/>
    </w:rPr>
  </w:style>
  <w:style w:type="paragraph" w:customStyle="1" w:styleId="Bibliografi">
    <w:name w:val="Bibliografi"/>
    <w:basedOn w:val="Normale"/>
    <w:uiPriority w:val="99"/>
    <w:rsid w:val="00A8227E"/>
    <w:pPr>
      <w:suppressAutoHyphens w:val="0"/>
    </w:pPr>
    <w:rPr>
      <w:kern w:val="1"/>
      <w:lang w:val="da-DK" w:eastAsia="ar-SA"/>
    </w:rPr>
  </w:style>
  <w:style w:type="paragraph" w:customStyle="1" w:styleId="Testonotadichiusura1">
    <w:name w:val="Testo nota di chiusura1"/>
    <w:basedOn w:val="Normale"/>
    <w:rsid w:val="00A8227E"/>
    <w:pPr>
      <w:suppressAutoHyphens w:val="0"/>
      <w:spacing w:after="0" w:line="100" w:lineRule="atLeast"/>
    </w:pPr>
    <w:rPr>
      <w:rFonts w:ascii="Times New Roman" w:hAnsi="Times New Roman"/>
      <w:kern w:val="1"/>
      <w:sz w:val="20"/>
      <w:szCs w:val="20"/>
      <w:lang w:eastAsia="ar-SA"/>
    </w:rPr>
  </w:style>
  <w:style w:type="paragraph" w:customStyle="1" w:styleId="bibliog">
    <w:name w:val="bibliog"/>
    <w:basedOn w:val="Normale"/>
    <w:rsid w:val="00A82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after="0" w:line="480" w:lineRule="atLeast"/>
      <w:ind w:left="620" w:right="-360" w:hanging="620"/>
      <w:jc w:val="both"/>
    </w:pPr>
    <w:rPr>
      <w:rFonts w:ascii="Times New Roman" w:hAnsi="Times New Roman"/>
      <w:kern w:val="1"/>
      <w:lang w:eastAsia="ar-SA"/>
    </w:rPr>
  </w:style>
  <w:style w:type="paragraph" w:customStyle="1" w:styleId="insights-upsell-number-of-applicants">
    <w:name w:val="insights-upsell-number-of-applicants"/>
    <w:basedOn w:val="Normale"/>
    <w:rsid w:val="00A8227E"/>
    <w:pPr>
      <w:suppressAutoHyphens w:val="0"/>
      <w:spacing w:before="28" w:after="28" w:line="100" w:lineRule="atLeast"/>
    </w:pPr>
    <w:rPr>
      <w:rFonts w:ascii="Times New Roman" w:hAnsi="Times New Roman"/>
      <w:kern w:val="1"/>
      <w:sz w:val="24"/>
      <w:szCs w:val="24"/>
      <w:lang w:eastAsia="ar-SA"/>
    </w:rPr>
  </w:style>
  <w:style w:type="paragraph" w:customStyle="1" w:styleId="insights-upsell-applicants">
    <w:name w:val="insights-upsell-applicants"/>
    <w:basedOn w:val="Normale"/>
    <w:rsid w:val="00A8227E"/>
    <w:pPr>
      <w:suppressAutoHyphens w:val="0"/>
      <w:spacing w:before="28" w:after="28" w:line="100" w:lineRule="atLeast"/>
    </w:pPr>
    <w:rPr>
      <w:rFonts w:ascii="Times New Roman" w:hAnsi="Times New Roman"/>
      <w:kern w:val="1"/>
      <w:sz w:val="24"/>
      <w:szCs w:val="24"/>
      <w:lang w:eastAsia="ar-SA"/>
    </w:rPr>
  </w:style>
  <w:style w:type="paragraph" w:customStyle="1" w:styleId="insights-upsell-value-description">
    <w:name w:val="insights-upsell-value-description"/>
    <w:basedOn w:val="Normale"/>
    <w:rsid w:val="00A8227E"/>
    <w:pPr>
      <w:suppressAutoHyphens w:val="0"/>
      <w:spacing w:before="28" w:after="28" w:line="100" w:lineRule="atLeast"/>
    </w:pPr>
    <w:rPr>
      <w:rFonts w:ascii="Times New Roman" w:hAnsi="Times New Roman"/>
      <w:kern w:val="1"/>
      <w:sz w:val="24"/>
      <w:szCs w:val="24"/>
      <w:lang w:eastAsia="ar-SA"/>
    </w:rPr>
  </w:style>
  <w:style w:type="paragraph" w:customStyle="1" w:styleId="Pa0">
    <w:name w:val="Pa0"/>
    <w:basedOn w:val="Default"/>
    <w:rsid w:val="00A8227E"/>
    <w:pPr>
      <w:spacing w:line="241" w:lineRule="atLeast"/>
    </w:pPr>
    <w:rPr>
      <w:rFonts w:ascii="Helvetica Neue LT Std" w:hAnsi="Helvetica Neue LT Std" w:cs="Times New Roman"/>
      <w:color w:val="00000A"/>
    </w:rPr>
  </w:style>
  <w:style w:type="paragraph" w:customStyle="1" w:styleId="Pa9">
    <w:name w:val="Pa9"/>
    <w:basedOn w:val="Default"/>
    <w:rsid w:val="00A8227E"/>
    <w:pPr>
      <w:spacing w:line="241" w:lineRule="atLeast"/>
    </w:pPr>
    <w:rPr>
      <w:rFonts w:ascii="HelveticaNeueLT Std Cn" w:hAnsi="HelveticaNeueLT Std Cn" w:cs="Times New Roman"/>
      <w:color w:val="00000A"/>
    </w:rPr>
  </w:style>
  <w:style w:type="paragraph" w:customStyle="1" w:styleId="Pa24">
    <w:name w:val="Pa24"/>
    <w:basedOn w:val="Default"/>
    <w:rsid w:val="00A8227E"/>
    <w:pPr>
      <w:spacing w:line="241" w:lineRule="atLeast"/>
    </w:pPr>
    <w:rPr>
      <w:rFonts w:ascii="Helvetica Neue LT Std" w:hAnsi="Helvetica Neue LT Std" w:cs="Times New Roman"/>
      <w:color w:val="00000A"/>
    </w:rPr>
  </w:style>
  <w:style w:type="paragraph" w:customStyle="1" w:styleId="Pa19">
    <w:name w:val="Pa19"/>
    <w:basedOn w:val="Default"/>
    <w:rsid w:val="00A8227E"/>
    <w:pPr>
      <w:spacing w:line="241" w:lineRule="atLeast"/>
    </w:pPr>
    <w:rPr>
      <w:rFonts w:ascii="Helvetica Neue LT Std" w:hAnsi="Helvetica Neue LT Std" w:cs="Times New Roman"/>
      <w:color w:val="00000A"/>
    </w:rPr>
  </w:style>
  <w:style w:type="paragraph" w:customStyle="1" w:styleId="Testonotaapidipagina1">
    <w:name w:val="Testo nota a piè di pagina1"/>
    <w:basedOn w:val="Normale"/>
    <w:rsid w:val="00A8227E"/>
    <w:pPr>
      <w:suppressAutoHyphens w:val="0"/>
      <w:spacing w:after="0" w:line="100" w:lineRule="atLeast"/>
    </w:pPr>
    <w:rPr>
      <w:rFonts w:ascii="Times New Roman" w:hAnsi="Times New Roman"/>
      <w:kern w:val="1"/>
      <w:sz w:val="20"/>
      <w:szCs w:val="20"/>
      <w:lang w:eastAsia="ar-SA"/>
    </w:rPr>
  </w:style>
  <w:style w:type="paragraph" w:styleId="Pidipagina">
    <w:name w:val="footer"/>
    <w:basedOn w:val="Normale"/>
    <w:link w:val="PidipaginaCarattere1"/>
    <w:uiPriority w:val="99"/>
    <w:rsid w:val="00A8227E"/>
    <w:pPr>
      <w:suppressLineNumbers/>
      <w:tabs>
        <w:tab w:val="center" w:pos="4819"/>
        <w:tab w:val="right" w:pos="9638"/>
      </w:tabs>
      <w:spacing w:after="0" w:line="100" w:lineRule="atLeast"/>
    </w:pPr>
    <w:rPr>
      <w:kern w:val="1"/>
      <w:lang w:eastAsia="ar-SA"/>
    </w:rPr>
  </w:style>
  <w:style w:type="character" w:customStyle="1" w:styleId="PidipaginaCarattere1">
    <w:name w:val="Piè di pagina Carattere1"/>
    <w:basedOn w:val="Carpredefinitoparagrafo"/>
    <w:link w:val="Pidipagina"/>
    <w:uiPriority w:val="99"/>
    <w:rsid w:val="00A8227E"/>
    <w:rPr>
      <w:rFonts w:ascii="Calibri" w:eastAsia="Times New Roman" w:hAnsi="Calibri" w:cs="Times New Roman"/>
      <w:color w:val="00000A"/>
      <w:kern w:val="1"/>
      <w:lang w:val="en-GB" w:eastAsia="ar-SA"/>
    </w:rPr>
  </w:style>
  <w:style w:type="paragraph" w:customStyle="1" w:styleId="Testofumetto1">
    <w:name w:val="Testo fumetto1"/>
    <w:basedOn w:val="Normale"/>
    <w:rsid w:val="00A8227E"/>
    <w:pPr>
      <w:spacing w:after="0" w:line="100" w:lineRule="atLeast"/>
    </w:pPr>
    <w:rPr>
      <w:rFonts w:ascii="Segoe UI" w:hAnsi="Segoe UI" w:cs="Segoe UI"/>
      <w:kern w:val="1"/>
      <w:sz w:val="18"/>
      <w:szCs w:val="18"/>
      <w:lang w:eastAsia="ar-SA"/>
    </w:rPr>
  </w:style>
  <w:style w:type="paragraph" w:customStyle="1" w:styleId="jobs-boxbody">
    <w:name w:val="jobs-box__body"/>
    <w:basedOn w:val="Normale"/>
    <w:rsid w:val="00A8227E"/>
    <w:pPr>
      <w:suppressAutoHyphens w:val="0"/>
      <w:spacing w:before="28" w:after="28" w:line="100" w:lineRule="atLeast"/>
    </w:pPr>
    <w:rPr>
      <w:rFonts w:ascii="Times New Roman" w:hAnsi="Times New Roman"/>
      <w:kern w:val="1"/>
      <w:sz w:val="24"/>
      <w:szCs w:val="24"/>
      <w:lang w:eastAsia="ar-SA"/>
    </w:rPr>
  </w:style>
  <w:style w:type="paragraph" w:customStyle="1" w:styleId="feature-headline">
    <w:name w:val="feature-headline"/>
    <w:basedOn w:val="Normale"/>
    <w:rsid w:val="00A8227E"/>
    <w:pPr>
      <w:suppressAutoHyphens w:val="0"/>
      <w:spacing w:before="28" w:after="28" w:line="100" w:lineRule="atLeast"/>
    </w:pPr>
    <w:rPr>
      <w:rFonts w:ascii="Times New Roman" w:hAnsi="Times New Roman"/>
      <w:kern w:val="1"/>
      <w:sz w:val="24"/>
      <w:szCs w:val="24"/>
      <w:lang w:eastAsia="ar-SA"/>
    </w:rPr>
  </w:style>
  <w:style w:type="paragraph" w:customStyle="1" w:styleId="ListParagraph1">
    <w:name w:val="List Paragraph1"/>
    <w:basedOn w:val="Normale"/>
    <w:rsid w:val="00A8227E"/>
    <w:pPr>
      <w:suppressAutoHyphens w:val="0"/>
      <w:ind w:left="720"/>
    </w:pPr>
    <w:rPr>
      <w:kern w:val="1"/>
      <w:lang w:eastAsia="ar-SA"/>
    </w:rPr>
  </w:style>
  <w:style w:type="paragraph" w:customStyle="1" w:styleId="Normal-T">
    <w:name w:val="Normal -T"/>
    <w:basedOn w:val="Normale"/>
    <w:rsid w:val="00A8227E"/>
    <w:pPr>
      <w:suppressAutoHyphens w:val="0"/>
      <w:spacing w:after="0" w:line="480" w:lineRule="auto"/>
      <w:ind w:firstLine="600"/>
      <w:jc w:val="both"/>
    </w:pPr>
    <w:rPr>
      <w:rFonts w:ascii="Times New Roman" w:hAnsi="Times New Roman"/>
      <w:kern w:val="1"/>
      <w:sz w:val="24"/>
      <w:szCs w:val="20"/>
      <w:lang w:val="en-US" w:eastAsia="ar-SA"/>
    </w:rPr>
  </w:style>
  <w:style w:type="table" w:styleId="Grigliatabella">
    <w:name w:val="Table Grid"/>
    <w:basedOn w:val="Tabellanormale"/>
    <w:rsid w:val="00A8227E"/>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A8227E"/>
    <w:pPr>
      <w:ind w:left="720"/>
      <w:contextualSpacing/>
    </w:pPr>
  </w:style>
  <w:style w:type="character" w:customStyle="1" w:styleId="TestofumettoCarattere1">
    <w:name w:val="Testo fumetto Carattere1"/>
    <w:basedOn w:val="Carpredefinitoparagrafo"/>
    <w:link w:val="Testofumetto"/>
    <w:uiPriority w:val="99"/>
    <w:rsid w:val="00A8227E"/>
    <w:rPr>
      <w:rFonts w:ascii="Segoe UI" w:eastAsia="Times New Roman" w:hAnsi="Segoe UI" w:cs="Segoe UI"/>
      <w:color w:val="00000A"/>
      <w:kern w:val="1"/>
      <w:sz w:val="18"/>
      <w:szCs w:val="18"/>
      <w:lang w:eastAsia="ar-SA"/>
    </w:rPr>
  </w:style>
  <w:style w:type="paragraph" w:styleId="Testofumetto">
    <w:name w:val="Balloon Text"/>
    <w:basedOn w:val="Normale"/>
    <w:link w:val="TestofumettoCarattere1"/>
    <w:uiPriority w:val="99"/>
    <w:unhideWhenUsed/>
    <w:rsid w:val="00A8227E"/>
    <w:pPr>
      <w:spacing w:after="0" w:line="240" w:lineRule="auto"/>
    </w:pPr>
    <w:rPr>
      <w:rFonts w:ascii="Segoe UI" w:hAnsi="Segoe UI" w:cs="Segoe UI"/>
      <w:kern w:val="1"/>
      <w:sz w:val="18"/>
      <w:szCs w:val="18"/>
      <w:lang w:val="it-IT" w:eastAsia="ar-SA"/>
    </w:rPr>
  </w:style>
  <w:style w:type="character" w:customStyle="1" w:styleId="TestofumettoCarattere2">
    <w:name w:val="Testo fumetto Carattere2"/>
    <w:basedOn w:val="Carpredefinitoparagrafo"/>
    <w:uiPriority w:val="99"/>
    <w:semiHidden/>
    <w:rsid w:val="00A8227E"/>
    <w:rPr>
      <w:rFonts w:ascii="Segoe UI" w:eastAsia="Times New Roman" w:hAnsi="Segoe UI" w:cs="Segoe UI"/>
      <w:color w:val="00000A"/>
      <w:sz w:val="18"/>
      <w:szCs w:val="18"/>
      <w:lang w:val="en-GB"/>
    </w:rPr>
  </w:style>
  <w:style w:type="character" w:customStyle="1" w:styleId="a-size-large">
    <w:name w:val="a-size-large"/>
    <w:rsid w:val="00A8227E"/>
  </w:style>
  <w:style w:type="character" w:customStyle="1" w:styleId="a-size-medium">
    <w:name w:val="a-size-medium"/>
    <w:rsid w:val="00A8227E"/>
  </w:style>
  <w:style w:type="character" w:customStyle="1" w:styleId="author">
    <w:name w:val="author"/>
    <w:rsid w:val="00A8227E"/>
  </w:style>
  <w:style w:type="character" w:customStyle="1" w:styleId="name-desc">
    <w:name w:val="name-desc"/>
    <w:rsid w:val="00A8227E"/>
  </w:style>
  <w:style w:type="character" w:customStyle="1" w:styleId="user">
    <w:name w:val="user"/>
    <w:rsid w:val="00A8227E"/>
  </w:style>
  <w:style w:type="paragraph" w:styleId="NormaleWeb">
    <w:name w:val="Normal (Web)"/>
    <w:basedOn w:val="Normale"/>
    <w:uiPriority w:val="99"/>
    <w:unhideWhenUsed/>
    <w:rsid w:val="00A8227E"/>
    <w:pPr>
      <w:suppressAutoHyphens w:val="0"/>
      <w:spacing w:before="100" w:beforeAutospacing="1" w:after="100" w:afterAutospacing="1" w:line="240" w:lineRule="auto"/>
    </w:pPr>
    <w:rPr>
      <w:rFonts w:ascii="Times New Roman" w:hAnsi="Times New Roman"/>
      <w:color w:val="auto"/>
      <w:sz w:val="24"/>
      <w:szCs w:val="24"/>
      <w:lang w:eastAsia="it-IT"/>
    </w:rPr>
  </w:style>
  <w:style w:type="character" w:customStyle="1" w:styleId="blast">
    <w:name w:val="blast"/>
    <w:rsid w:val="00A8227E"/>
  </w:style>
  <w:style w:type="character" w:customStyle="1" w:styleId="TestocommentoCarattere">
    <w:name w:val="Testo commento Carattere"/>
    <w:basedOn w:val="Carpredefinitoparagrafo"/>
    <w:link w:val="Testocommento"/>
    <w:uiPriority w:val="99"/>
    <w:rsid w:val="00A8227E"/>
    <w:rPr>
      <w:rFonts w:ascii="Calibri" w:eastAsia="Times New Roman" w:hAnsi="Calibri" w:cs="Times New Roman"/>
      <w:color w:val="00000A"/>
      <w:kern w:val="1"/>
      <w:sz w:val="20"/>
      <w:szCs w:val="20"/>
      <w:lang w:eastAsia="ar-SA"/>
    </w:rPr>
  </w:style>
  <w:style w:type="paragraph" w:styleId="Testocommento">
    <w:name w:val="annotation text"/>
    <w:basedOn w:val="Normale"/>
    <w:link w:val="TestocommentoCarattere"/>
    <w:uiPriority w:val="99"/>
    <w:unhideWhenUsed/>
    <w:rsid w:val="00A8227E"/>
    <w:rPr>
      <w:kern w:val="1"/>
      <w:sz w:val="20"/>
      <w:szCs w:val="20"/>
      <w:lang w:val="it-IT" w:eastAsia="ar-SA"/>
    </w:rPr>
  </w:style>
  <w:style w:type="character" w:customStyle="1" w:styleId="TestocommentoCarattere1">
    <w:name w:val="Testo commento Carattere1"/>
    <w:basedOn w:val="Carpredefinitoparagrafo"/>
    <w:uiPriority w:val="99"/>
    <w:semiHidden/>
    <w:rsid w:val="00A8227E"/>
    <w:rPr>
      <w:rFonts w:ascii="Calibri" w:eastAsia="Times New Roman" w:hAnsi="Calibri" w:cs="Times New Roman"/>
      <w:color w:val="00000A"/>
      <w:sz w:val="20"/>
      <w:szCs w:val="20"/>
      <w:lang w:val="en-GB"/>
    </w:rPr>
  </w:style>
  <w:style w:type="character" w:customStyle="1" w:styleId="SoggettocommentoCarattere">
    <w:name w:val="Soggetto commento Carattere"/>
    <w:basedOn w:val="TestocommentoCarattere"/>
    <w:link w:val="Soggettocommento"/>
    <w:uiPriority w:val="99"/>
    <w:rsid w:val="00A8227E"/>
    <w:rPr>
      <w:rFonts w:ascii="Calibri" w:eastAsia="Times New Roman" w:hAnsi="Calibri" w:cs="Times New Roman"/>
      <w:b/>
      <w:bCs/>
      <w:color w:val="00000A"/>
      <w:kern w:val="1"/>
      <w:sz w:val="20"/>
      <w:szCs w:val="20"/>
      <w:lang w:eastAsia="ar-SA"/>
    </w:rPr>
  </w:style>
  <w:style w:type="paragraph" w:styleId="Soggettocommento">
    <w:name w:val="annotation subject"/>
    <w:basedOn w:val="Testocommento"/>
    <w:next w:val="Testocommento"/>
    <w:link w:val="SoggettocommentoCarattere"/>
    <w:uiPriority w:val="99"/>
    <w:unhideWhenUsed/>
    <w:rsid w:val="00A8227E"/>
    <w:rPr>
      <w:b/>
      <w:bCs/>
    </w:rPr>
  </w:style>
  <w:style w:type="character" w:customStyle="1" w:styleId="SoggettocommentoCarattere1">
    <w:name w:val="Soggetto commento Carattere1"/>
    <w:basedOn w:val="TestocommentoCarattere1"/>
    <w:uiPriority w:val="99"/>
    <w:semiHidden/>
    <w:rsid w:val="00A8227E"/>
    <w:rPr>
      <w:rFonts w:ascii="Calibri" w:eastAsia="Times New Roman" w:hAnsi="Calibri" w:cs="Times New Roman"/>
      <w:b/>
      <w:bCs/>
      <w:color w:val="00000A"/>
      <w:sz w:val="20"/>
      <w:szCs w:val="20"/>
      <w:lang w:val="en-GB"/>
    </w:rPr>
  </w:style>
  <w:style w:type="paragraph" w:customStyle="1" w:styleId="NomeAutore">
    <w:name w:val="NomeAutore"/>
    <w:qFormat/>
    <w:rsid w:val="00A8227E"/>
    <w:pPr>
      <w:jc w:val="right"/>
    </w:pPr>
    <w:rPr>
      <w:rFonts w:ascii="Arial" w:eastAsiaTheme="minorEastAsia" w:hAnsi="Arial"/>
      <w:sz w:val="24"/>
    </w:rPr>
  </w:style>
  <w:style w:type="paragraph" w:customStyle="1" w:styleId="TitoloSezione">
    <w:name w:val="TitoloSezione"/>
    <w:basedOn w:val="Normale"/>
    <w:qFormat/>
    <w:rsid w:val="00A8227E"/>
    <w:pPr>
      <w:suppressAutoHyphens w:val="0"/>
      <w:spacing w:before="480" w:after="120" w:line="240" w:lineRule="auto"/>
      <w:jc w:val="both"/>
    </w:pPr>
    <w:rPr>
      <w:rFonts w:ascii="Times New Roman" w:eastAsiaTheme="minorHAnsi" w:hAnsi="Times New Roman" w:cstheme="minorBidi"/>
      <w:b/>
      <w:color w:val="auto"/>
      <w:sz w:val="24"/>
      <w:lang w:val="en-US"/>
    </w:rPr>
  </w:style>
  <w:style w:type="paragraph" w:customStyle="1" w:styleId="TestoSezione">
    <w:name w:val="TestoSezione"/>
    <w:qFormat/>
    <w:rsid w:val="00A8227E"/>
    <w:pPr>
      <w:spacing w:after="120" w:line="240" w:lineRule="auto"/>
      <w:jc w:val="both"/>
    </w:pPr>
    <w:rPr>
      <w:rFonts w:ascii="Times New Roman" w:eastAsiaTheme="minorEastAsia" w:hAnsi="Times New Roman"/>
      <w:sz w:val="24"/>
      <w:lang w:val="en-US"/>
    </w:rPr>
  </w:style>
  <w:style w:type="paragraph" w:customStyle="1" w:styleId="ElementoImmagine-Grafico-">
    <w:name w:val="Elemento_Immagine-Grafico-"/>
    <w:basedOn w:val="Normale"/>
    <w:qFormat/>
    <w:rsid w:val="00A8227E"/>
    <w:pPr>
      <w:suppressAutoHyphens w:val="0"/>
      <w:spacing w:before="360" w:after="120" w:line="240" w:lineRule="auto"/>
    </w:pPr>
    <w:rPr>
      <w:rFonts w:ascii="Times New Roman" w:eastAsiaTheme="minorHAnsi" w:hAnsi="Times New Roman"/>
      <w:noProof/>
      <w:color w:val="auto"/>
      <w:sz w:val="24"/>
      <w:szCs w:val="24"/>
      <w:lang w:eastAsia="it-IT"/>
    </w:rPr>
  </w:style>
  <w:style w:type="paragraph" w:customStyle="1" w:styleId="Biblio">
    <w:name w:val="Biblio"/>
    <w:qFormat/>
    <w:rsid w:val="00A8227E"/>
    <w:pPr>
      <w:spacing w:after="120" w:line="240" w:lineRule="auto"/>
      <w:ind w:left="284" w:hanging="284"/>
      <w:jc w:val="both"/>
    </w:pPr>
    <w:rPr>
      <w:rFonts w:ascii="Times New Roman" w:eastAsiaTheme="minorEastAsia" w:hAnsi="Times New Roman"/>
      <w:lang w:val="en-US"/>
    </w:rPr>
  </w:style>
  <w:style w:type="paragraph" w:styleId="Mappadocumento">
    <w:name w:val="Document Map"/>
    <w:basedOn w:val="Normale"/>
    <w:link w:val="MappadocumentoCarattere"/>
    <w:rsid w:val="00A8227E"/>
    <w:pPr>
      <w:suppressAutoHyphens w:val="0"/>
      <w:spacing w:after="0" w:line="240" w:lineRule="auto"/>
    </w:pPr>
    <w:rPr>
      <w:rFonts w:ascii="Lucida Grande" w:eastAsiaTheme="minorHAnsi" w:hAnsi="Lucida Grande" w:cstheme="minorBidi"/>
      <w:color w:val="auto"/>
      <w:sz w:val="24"/>
      <w:szCs w:val="24"/>
    </w:rPr>
  </w:style>
  <w:style w:type="character" w:customStyle="1" w:styleId="MappadocumentoCarattere">
    <w:name w:val="Mappa documento Carattere"/>
    <w:basedOn w:val="Carpredefinitoparagrafo"/>
    <w:link w:val="Mappadocumento"/>
    <w:rsid w:val="00A8227E"/>
    <w:rPr>
      <w:rFonts w:ascii="Lucida Grande" w:hAnsi="Lucida Grande"/>
      <w:sz w:val="24"/>
      <w:szCs w:val="24"/>
      <w:lang w:val="en-GB"/>
    </w:rPr>
  </w:style>
  <w:style w:type="paragraph" w:styleId="Didascalia">
    <w:name w:val="caption"/>
    <w:basedOn w:val="Normale"/>
    <w:uiPriority w:val="99"/>
    <w:qFormat/>
    <w:rsid w:val="00A8227E"/>
    <w:pPr>
      <w:suppressLineNumbers/>
      <w:spacing w:before="120" w:after="120"/>
    </w:pPr>
    <w:rPr>
      <w:rFonts w:cs="Mangal"/>
      <w:i/>
      <w:iCs/>
      <w:sz w:val="24"/>
      <w:szCs w:val="24"/>
    </w:rPr>
  </w:style>
  <w:style w:type="paragraph" w:customStyle="1" w:styleId="byline-dateline">
    <w:name w:val="byline-dateline"/>
    <w:basedOn w:val="Normale"/>
    <w:rsid w:val="00A8227E"/>
    <w:pPr>
      <w:suppressAutoHyphens w:val="0"/>
      <w:spacing w:before="100" w:beforeAutospacing="1" w:after="100" w:afterAutospacing="1" w:line="240" w:lineRule="auto"/>
    </w:pPr>
    <w:rPr>
      <w:rFonts w:ascii="Times New Roman" w:hAnsi="Times New Roman"/>
      <w:color w:val="auto"/>
      <w:sz w:val="24"/>
      <w:szCs w:val="24"/>
      <w:lang w:val="en-US" w:eastAsia="zh-TW"/>
    </w:rPr>
  </w:style>
  <w:style w:type="character" w:customStyle="1" w:styleId="byline">
    <w:name w:val="byline"/>
    <w:basedOn w:val="Carpredefinitoparagrafo"/>
    <w:rsid w:val="00A8227E"/>
  </w:style>
  <w:style w:type="character" w:customStyle="1" w:styleId="byline-author">
    <w:name w:val="byline-author"/>
    <w:basedOn w:val="Carpredefinitoparagrafo"/>
    <w:rsid w:val="00A8227E"/>
  </w:style>
  <w:style w:type="paragraph" w:customStyle="1" w:styleId="story-body-text">
    <w:name w:val="story-body-text"/>
    <w:basedOn w:val="Normale"/>
    <w:rsid w:val="00A8227E"/>
    <w:pPr>
      <w:suppressAutoHyphens w:val="0"/>
      <w:spacing w:before="100" w:beforeAutospacing="1" w:after="100" w:afterAutospacing="1" w:line="240" w:lineRule="auto"/>
    </w:pPr>
    <w:rPr>
      <w:rFonts w:ascii="Times New Roman" w:hAnsi="Times New Roman"/>
      <w:color w:val="auto"/>
      <w:sz w:val="24"/>
      <w:szCs w:val="24"/>
      <w:lang w:val="en-US" w:eastAsia="zh-TW"/>
    </w:rPr>
  </w:style>
  <w:style w:type="character" w:customStyle="1" w:styleId="visually-hidden">
    <w:name w:val="visually-hidden"/>
    <w:basedOn w:val="Carpredefinitoparagrafo"/>
    <w:rsid w:val="00A8227E"/>
  </w:style>
  <w:style w:type="paragraph" w:customStyle="1" w:styleId="contentdateline">
    <w:name w:val="content__dateline"/>
    <w:basedOn w:val="Normale"/>
    <w:rsid w:val="00A8227E"/>
    <w:pPr>
      <w:suppressAutoHyphens w:val="0"/>
      <w:spacing w:before="100" w:beforeAutospacing="1" w:after="100" w:afterAutospacing="1" w:line="240" w:lineRule="auto"/>
    </w:pPr>
    <w:rPr>
      <w:rFonts w:ascii="Times New Roman" w:hAnsi="Times New Roman"/>
      <w:color w:val="auto"/>
      <w:sz w:val="24"/>
      <w:szCs w:val="24"/>
      <w:lang w:val="en-US" w:eastAsia="zh-TW"/>
    </w:rPr>
  </w:style>
  <w:style w:type="character" w:customStyle="1" w:styleId="contentdateline-time">
    <w:name w:val="content__dateline-time"/>
    <w:basedOn w:val="Carpredefinitoparagrafo"/>
    <w:rsid w:val="00A8227E"/>
  </w:style>
  <w:style w:type="character" w:customStyle="1" w:styleId="commentcount2value">
    <w:name w:val="commentcount2__value"/>
    <w:basedOn w:val="Carpredefinitoparagrafo"/>
    <w:rsid w:val="00A8227E"/>
  </w:style>
  <w:style w:type="character" w:customStyle="1" w:styleId="save-for-laterlabel">
    <w:name w:val="save-for-later__label"/>
    <w:basedOn w:val="Carpredefinitoparagrafo"/>
    <w:rsid w:val="00A8227E"/>
  </w:style>
  <w:style w:type="character" w:customStyle="1" w:styleId="article-jurisdictions">
    <w:name w:val="article-jurisdictions"/>
    <w:basedOn w:val="Carpredefinitoparagrafo"/>
    <w:rsid w:val="00A8227E"/>
  </w:style>
  <w:style w:type="character" w:customStyle="1" w:styleId="publication">
    <w:name w:val="publication"/>
    <w:basedOn w:val="Carpredefinitoparagrafo"/>
    <w:rsid w:val="00A8227E"/>
  </w:style>
  <w:style w:type="character" w:customStyle="1" w:styleId="previous">
    <w:name w:val="previous"/>
    <w:basedOn w:val="Carpredefinitoparagrafo"/>
    <w:rsid w:val="00A8227E"/>
  </w:style>
  <w:style w:type="paragraph" w:customStyle="1" w:styleId="imagecaption">
    <w:name w:val="imagecaption"/>
    <w:basedOn w:val="Normale"/>
    <w:rsid w:val="00A8227E"/>
    <w:pPr>
      <w:suppressAutoHyphens w:val="0"/>
      <w:spacing w:before="100" w:beforeAutospacing="1" w:after="100" w:afterAutospacing="1" w:line="240" w:lineRule="auto"/>
    </w:pPr>
    <w:rPr>
      <w:rFonts w:ascii="Times New Roman" w:hAnsi="Times New Roman"/>
      <w:color w:val="auto"/>
      <w:sz w:val="24"/>
      <w:szCs w:val="24"/>
      <w:lang w:val="en-US" w:eastAsia="zh-TW"/>
    </w:rPr>
  </w:style>
  <w:style w:type="character" w:customStyle="1" w:styleId="blocktitle">
    <w:name w:val="blocktitle"/>
    <w:basedOn w:val="Carpredefinitoparagrafo"/>
    <w:rsid w:val="00A8227E"/>
  </w:style>
  <w:style w:type="character" w:customStyle="1" w:styleId="Iniziomodulo-zCarattere">
    <w:name w:val="Inizio modulo -z Carattere"/>
    <w:basedOn w:val="Carpredefinitoparagrafo"/>
    <w:link w:val="Iniziomodulo-z"/>
    <w:uiPriority w:val="99"/>
    <w:semiHidden/>
    <w:rsid w:val="00A8227E"/>
    <w:rPr>
      <w:rFonts w:ascii="Arial" w:eastAsia="Times New Roman" w:hAnsi="Arial" w:cs="Arial"/>
      <w:vanish/>
      <w:sz w:val="16"/>
      <w:szCs w:val="16"/>
      <w:lang w:val="en-US" w:eastAsia="zh-TW"/>
    </w:rPr>
  </w:style>
  <w:style w:type="paragraph" w:styleId="Iniziomodulo-z">
    <w:name w:val="HTML Top of Form"/>
    <w:basedOn w:val="Normale"/>
    <w:next w:val="Normale"/>
    <w:link w:val="Iniziomodulo-zCarattere"/>
    <w:hidden/>
    <w:uiPriority w:val="99"/>
    <w:semiHidden/>
    <w:unhideWhenUsed/>
    <w:rsid w:val="00A8227E"/>
    <w:pPr>
      <w:pBdr>
        <w:bottom w:val="single" w:sz="6" w:space="1" w:color="auto"/>
      </w:pBdr>
      <w:suppressAutoHyphens w:val="0"/>
      <w:spacing w:after="0" w:line="240" w:lineRule="auto"/>
      <w:jc w:val="center"/>
    </w:pPr>
    <w:rPr>
      <w:rFonts w:ascii="Arial" w:hAnsi="Arial" w:cs="Arial"/>
      <w:vanish/>
      <w:color w:val="auto"/>
      <w:sz w:val="16"/>
      <w:szCs w:val="16"/>
      <w:lang w:val="en-US" w:eastAsia="zh-TW"/>
    </w:rPr>
  </w:style>
  <w:style w:type="character" w:customStyle="1" w:styleId="Iniziomodulo-zCarattere1">
    <w:name w:val="Inizio modulo -z Carattere1"/>
    <w:basedOn w:val="Carpredefinitoparagrafo"/>
    <w:uiPriority w:val="99"/>
    <w:semiHidden/>
    <w:rsid w:val="00A8227E"/>
    <w:rPr>
      <w:rFonts w:ascii="Arial" w:eastAsia="Times New Roman" w:hAnsi="Arial" w:cs="Arial"/>
      <w:vanish/>
      <w:color w:val="00000A"/>
      <w:sz w:val="16"/>
      <w:szCs w:val="16"/>
      <w:lang w:val="en-GB"/>
    </w:rPr>
  </w:style>
  <w:style w:type="character" w:customStyle="1" w:styleId="Finemodulo-zCarattere">
    <w:name w:val="Fine modulo -z Carattere"/>
    <w:basedOn w:val="Carpredefinitoparagrafo"/>
    <w:link w:val="Finemodulo-z"/>
    <w:uiPriority w:val="99"/>
    <w:semiHidden/>
    <w:rsid w:val="00A8227E"/>
    <w:rPr>
      <w:rFonts w:ascii="Arial" w:eastAsia="Times New Roman" w:hAnsi="Arial" w:cs="Arial"/>
      <w:vanish/>
      <w:sz w:val="16"/>
      <w:szCs w:val="16"/>
      <w:lang w:val="en-US" w:eastAsia="zh-TW"/>
    </w:rPr>
  </w:style>
  <w:style w:type="paragraph" w:styleId="Finemodulo-z">
    <w:name w:val="HTML Bottom of Form"/>
    <w:basedOn w:val="Normale"/>
    <w:next w:val="Normale"/>
    <w:link w:val="Finemodulo-zCarattere"/>
    <w:hidden/>
    <w:uiPriority w:val="99"/>
    <w:semiHidden/>
    <w:unhideWhenUsed/>
    <w:rsid w:val="00A8227E"/>
    <w:pPr>
      <w:pBdr>
        <w:top w:val="single" w:sz="6" w:space="1" w:color="auto"/>
      </w:pBdr>
      <w:suppressAutoHyphens w:val="0"/>
      <w:spacing w:after="0" w:line="240" w:lineRule="auto"/>
      <w:jc w:val="center"/>
    </w:pPr>
    <w:rPr>
      <w:rFonts w:ascii="Arial" w:hAnsi="Arial" w:cs="Arial"/>
      <w:vanish/>
      <w:color w:val="auto"/>
      <w:sz w:val="16"/>
      <w:szCs w:val="16"/>
      <w:lang w:val="en-US" w:eastAsia="zh-TW"/>
    </w:rPr>
  </w:style>
  <w:style w:type="character" w:customStyle="1" w:styleId="Finemodulo-zCarattere1">
    <w:name w:val="Fine modulo -z Carattere1"/>
    <w:basedOn w:val="Carpredefinitoparagrafo"/>
    <w:uiPriority w:val="99"/>
    <w:semiHidden/>
    <w:rsid w:val="00A8227E"/>
    <w:rPr>
      <w:rFonts w:ascii="Arial" w:eastAsia="Times New Roman" w:hAnsi="Arial" w:cs="Arial"/>
      <w:vanish/>
      <w:color w:val="00000A"/>
      <w:sz w:val="16"/>
      <w:szCs w:val="16"/>
      <w:lang w:val="en-GB"/>
    </w:rPr>
  </w:style>
  <w:style w:type="character" w:customStyle="1" w:styleId="blocksubtitle">
    <w:name w:val="blocksubtitle"/>
    <w:basedOn w:val="Carpredefinitoparagrafo"/>
    <w:rsid w:val="00A8227E"/>
  </w:style>
  <w:style w:type="paragraph" w:customStyle="1" w:styleId="dateline">
    <w:name w:val="dateline"/>
    <w:basedOn w:val="Normale"/>
    <w:rsid w:val="00A8227E"/>
    <w:pPr>
      <w:suppressAutoHyphens w:val="0"/>
      <w:spacing w:before="100" w:beforeAutospacing="1" w:after="100" w:afterAutospacing="1" w:line="240" w:lineRule="auto"/>
    </w:pPr>
    <w:rPr>
      <w:rFonts w:ascii="Times New Roman" w:hAnsi="Times New Roman"/>
      <w:color w:val="auto"/>
      <w:sz w:val="24"/>
      <w:szCs w:val="24"/>
      <w:lang w:val="en-US" w:eastAsia="zh-TW"/>
    </w:rPr>
  </w:style>
  <w:style w:type="character" w:customStyle="1" w:styleId="in-widget">
    <w:name w:val="in-widget"/>
    <w:basedOn w:val="Carpredefinitoparagrafo"/>
    <w:rsid w:val="00A8227E"/>
  </w:style>
  <w:style w:type="character" w:customStyle="1" w:styleId="in-right">
    <w:name w:val="in-right"/>
    <w:basedOn w:val="Carpredefinitoparagrafo"/>
    <w:rsid w:val="00A8227E"/>
  </w:style>
  <w:style w:type="paragraph" w:customStyle="1" w:styleId="author-section">
    <w:name w:val="author-section"/>
    <w:basedOn w:val="Normale"/>
    <w:rsid w:val="00A8227E"/>
    <w:pPr>
      <w:suppressAutoHyphens w:val="0"/>
      <w:spacing w:before="100" w:beforeAutospacing="1" w:after="100" w:afterAutospacing="1" w:line="240" w:lineRule="auto"/>
    </w:pPr>
    <w:rPr>
      <w:rFonts w:ascii="Times New Roman" w:hAnsi="Times New Roman"/>
      <w:color w:val="auto"/>
      <w:sz w:val="24"/>
      <w:szCs w:val="24"/>
      <w:lang w:val="en-US" w:eastAsia="zh-TW"/>
    </w:rPr>
  </w:style>
  <w:style w:type="character" w:customStyle="1" w:styleId="article-timestamp">
    <w:name w:val="article-timestamp"/>
    <w:basedOn w:val="Carpredefinitoparagrafo"/>
    <w:rsid w:val="00A8227E"/>
  </w:style>
  <w:style w:type="character" w:customStyle="1" w:styleId="DataCarattere">
    <w:name w:val="Data Carattere"/>
    <w:basedOn w:val="Carpredefinitoparagrafo"/>
    <w:link w:val="Data"/>
    <w:uiPriority w:val="99"/>
    <w:semiHidden/>
    <w:rsid w:val="00A8227E"/>
    <w:rPr>
      <w:rFonts w:ascii="Calibri" w:eastAsia="Times New Roman" w:hAnsi="Calibri" w:cs="Times New Roman"/>
      <w:color w:val="00000A"/>
    </w:rPr>
  </w:style>
  <w:style w:type="paragraph" w:styleId="Data">
    <w:name w:val="Date"/>
    <w:basedOn w:val="Normale"/>
    <w:next w:val="Normale"/>
    <w:link w:val="DataCarattere"/>
    <w:uiPriority w:val="99"/>
    <w:semiHidden/>
    <w:unhideWhenUsed/>
    <w:rsid w:val="00A8227E"/>
    <w:rPr>
      <w:lang w:val="it-IT"/>
    </w:rPr>
  </w:style>
  <w:style w:type="character" w:customStyle="1" w:styleId="DataCarattere1">
    <w:name w:val="Data Carattere1"/>
    <w:basedOn w:val="Carpredefinitoparagrafo"/>
    <w:uiPriority w:val="99"/>
    <w:semiHidden/>
    <w:rsid w:val="00A8227E"/>
    <w:rPr>
      <w:rFonts w:ascii="Calibri" w:eastAsia="Times New Roman" w:hAnsi="Calibri" w:cs="Times New Roman"/>
      <w:color w:val="00000A"/>
      <w:lang w:val="en-GB"/>
    </w:rPr>
  </w:style>
  <w:style w:type="character" w:customStyle="1" w:styleId="WW8Num1z0">
    <w:name w:val="WW8Num1z0"/>
    <w:rsid w:val="00A8227E"/>
    <w:rPr>
      <w:rFonts w:ascii="Symbol" w:hAnsi="Symbol" w:cs="Symbol" w:hint="default"/>
    </w:rPr>
  </w:style>
  <w:style w:type="character" w:customStyle="1" w:styleId="WW8Num1z2">
    <w:name w:val="WW8Num1z2"/>
    <w:rsid w:val="00A8227E"/>
    <w:rPr>
      <w:rFonts w:ascii="Courier New" w:hAnsi="Courier New" w:cs="Courier New" w:hint="default"/>
    </w:rPr>
  </w:style>
  <w:style w:type="character" w:customStyle="1" w:styleId="WW8Num1z3">
    <w:name w:val="WW8Num1z3"/>
    <w:rsid w:val="00A8227E"/>
    <w:rPr>
      <w:rFonts w:ascii="Wingdings" w:hAnsi="Wingdings" w:cs="Wingdings" w:hint="default"/>
    </w:rPr>
  </w:style>
  <w:style w:type="character" w:customStyle="1" w:styleId="DefaultParagraphFont1">
    <w:name w:val="Default Paragraph Font1"/>
    <w:rsid w:val="00A8227E"/>
  </w:style>
  <w:style w:type="character" w:customStyle="1" w:styleId="Carpredefinitoparagrafo2">
    <w:name w:val="Car. predefinito paragrafo2"/>
    <w:rsid w:val="00A8227E"/>
  </w:style>
  <w:style w:type="character" w:customStyle="1" w:styleId="Rimandocommento1">
    <w:name w:val="Rimando commento1"/>
    <w:rsid w:val="00A8227E"/>
    <w:rPr>
      <w:sz w:val="16"/>
      <w:szCs w:val="16"/>
    </w:rPr>
  </w:style>
  <w:style w:type="character" w:customStyle="1" w:styleId="BalloonTextChar">
    <w:name w:val="Balloon Text Char"/>
    <w:rsid w:val="00A8227E"/>
    <w:rPr>
      <w:rFonts w:ascii="Segoe UI" w:eastAsia="SimSun" w:hAnsi="Segoe UI" w:cs="Mangal"/>
      <w:kern w:val="1"/>
      <w:sz w:val="18"/>
      <w:szCs w:val="16"/>
      <w:lang w:eastAsia="hi-IN" w:bidi="hi-IN"/>
    </w:rPr>
  </w:style>
  <w:style w:type="character" w:customStyle="1" w:styleId="CommentTextChar">
    <w:name w:val="Comment Text Char"/>
    <w:rsid w:val="00A8227E"/>
    <w:rPr>
      <w:rFonts w:eastAsia="SimSun" w:cs="Mangal"/>
      <w:kern w:val="1"/>
      <w:sz w:val="24"/>
      <w:szCs w:val="24"/>
      <w:lang w:eastAsia="hi-IN" w:bidi="hi-IN"/>
    </w:rPr>
  </w:style>
  <w:style w:type="character" w:customStyle="1" w:styleId="CommentSubjectChar">
    <w:name w:val="Comment Subject Char"/>
    <w:rsid w:val="00A8227E"/>
    <w:rPr>
      <w:rFonts w:eastAsia="SimSun" w:cs="Mangal"/>
      <w:b/>
      <w:bCs/>
      <w:kern w:val="1"/>
      <w:sz w:val="24"/>
      <w:szCs w:val="24"/>
      <w:lang w:eastAsia="hi-IN" w:bidi="hi-IN"/>
    </w:rPr>
  </w:style>
  <w:style w:type="paragraph" w:customStyle="1" w:styleId="Intestazione4">
    <w:name w:val="Intestazione4"/>
    <w:basedOn w:val="Normale"/>
    <w:next w:val="Corpotesto"/>
    <w:rsid w:val="00A8227E"/>
    <w:pPr>
      <w:keepNext/>
      <w:widowControl w:val="0"/>
      <w:spacing w:before="240" w:after="120" w:line="240" w:lineRule="auto"/>
    </w:pPr>
    <w:rPr>
      <w:rFonts w:ascii="Arial" w:eastAsia="Microsoft YaHei" w:hAnsi="Arial" w:cs="Mangal"/>
      <w:color w:val="auto"/>
      <w:kern w:val="1"/>
      <w:sz w:val="28"/>
      <w:szCs w:val="28"/>
      <w:lang w:eastAsia="hi-IN" w:bidi="hi-IN"/>
    </w:rPr>
  </w:style>
  <w:style w:type="paragraph" w:customStyle="1" w:styleId="Didascalia4">
    <w:name w:val="Didascalia4"/>
    <w:basedOn w:val="Normale"/>
    <w:rsid w:val="00A8227E"/>
    <w:pPr>
      <w:widowControl w:val="0"/>
      <w:suppressLineNumbers/>
      <w:spacing w:before="120" w:after="120" w:line="240" w:lineRule="auto"/>
    </w:pPr>
    <w:rPr>
      <w:rFonts w:ascii="Times New Roman" w:eastAsia="SimSun" w:hAnsi="Times New Roman" w:cs="Mangal"/>
      <w:i/>
      <w:iCs/>
      <w:color w:val="auto"/>
      <w:kern w:val="1"/>
      <w:sz w:val="24"/>
      <w:szCs w:val="24"/>
      <w:lang w:eastAsia="hi-IN" w:bidi="hi-IN"/>
    </w:rPr>
  </w:style>
  <w:style w:type="paragraph" w:customStyle="1" w:styleId="Intestazione3">
    <w:name w:val="Intestazione3"/>
    <w:basedOn w:val="Normale"/>
    <w:next w:val="Corpotesto"/>
    <w:rsid w:val="00A8227E"/>
    <w:pPr>
      <w:keepNext/>
      <w:widowControl w:val="0"/>
      <w:spacing w:before="240" w:after="120" w:line="240" w:lineRule="auto"/>
    </w:pPr>
    <w:rPr>
      <w:rFonts w:ascii="Arial" w:eastAsia="Microsoft YaHei" w:hAnsi="Arial" w:cs="Mangal"/>
      <w:color w:val="auto"/>
      <w:kern w:val="1"/>
      <w:sz w:val="28"/>
      <w:szCs w:val="28"/>
      <w:lang w:eastAsia="hi-IN" w:bidi="hi-IN"/>
    </w:rPr>
  </w:style>
  <w:style w:type="paragraph" w:customStyle="1" w:styleId="Didascalia3">
    <w:name w:val="Didascalia3"/>
    <w:basedOn w:val="Normale"/>
    <w:rsid w:val="00A8227E"/>
    <w:pPr>
      <w:widowControl w:val="0"/>
      <w:suppressLineNumbers/>
      <w:spacing w:before="120" w:after="120" w:line="240" w:lineRule="auto"/>
    </w:pPr>
    <w:rPr>
      <w:rFonts w:ascii="Times New Roman" w:eastAsia="SimSun" w:hAnsi="Times New Roman" w:cs="Mangal"/>
      <w:i/>
      <w:iCs/>
      <w:color w:val="auto"/>
      <w:kern w:val="1"/>
      <w:sz w:val="24"/>
      <w:szCs w:val="24"/>
      <w:lang w:eastAsia="hi-IN" w:bidi="hi-IN"/>
    </w:rPr>
  </w:style>
  <w:style w:type="paragraph" w:customStyle="1" w:styleId="Intestazione2">
    <w:name w:val="Intestazione2"/>
    <w:basedOn w:val="Normale"/>
    <w:next w:val="Corpotesto"/>
    <w:rsid w:val="00A8227E"/>
    <w:pPr>
      <w:keepNext/>
      <w:widowControl w:val="0"/>
      <w:spacing w:before="240" w:after="120" w:line="240" w:lineRule="auto"/>
    </w:pPr>
    <w:rPr>
      <w:rFonts w:ascii="Arial" w:eastAsia="Microsoft YaHei" w:hAnsi="Arial" w:cs="Mangal"/>
      <w:color w:val="auto"/>
      <w:kern w:val="1"/>
      <w:sz w:val="28"/>
      <w:szCs w:val="28"/>
      <w:lang w:eastAsia="hi-IN" w:bidi="hi-IN"/>
    </w:rPr>
  </w:style>
  <w:style w:type="paragraph" w:customStyle="1" w:styleId="Testocommento1">
    <w:name w:val="Testo commento1"/>
    <w:basedOn w:val="Normale"/>
    <w:rsid w:val="00A8227E"/>
    <w:pPr>
      <w:widowControl w:val="0"/>
      <w:spacing w:after="0" w:line="240" w:lineRule="auto"/>
    </w:pPr>
    <w:rPr>
      <w:rFonts w:ascii="Times New Roman" w:eastAsia="SimSun" w:hAnsi="Times New Roman" w:cs="Mangal"/>
      <w:color w:val="auto"/>
      <w:kern w:val="1"/>
      <w:sz w:val="20"/>
      <w:szCs w:val="18"/>
      <w:lang w:eastAsia="hi-IN" w:bidi="hi-IN"/>
    </w:rPr>
  </w:style>
  <w:style w:type="paragraph" w:customStyle="1" w:styleId="Soggettocommento1">
    <w:name w:val="Soggetto commento1"/>
    <w:basedOn w:val="Testocommento1"/>
    <w:next w:val="Testocommento1"/>
    <w:rsid w:val="00A8227E"/>
    <w:rPr>
      <w:b/>
      <w:bCs/>
    </w:rPr>
  </w:style>
  <w:style w:type="paragraph" w:customStyle="1" w:styleId="Contenutotabella">
    <w:name w:val="Contenuto tabella"/>
    <w:basedOn w:val="Normale"/>
    <w:rsid w:val="00A8227E"/>
    <w:pPr>
      <w:widowControl w:val="0"/>
      <w:suppressLineNumbers/>
      <w:spacing w:after="0" w:line="240" w:lineRule="auto"/>
    </w:pPr>
    <w:rPr>
      <w:rFonts w:ascii="Times New Roman" w:eastAsia="Arial Unicode MS" w:hAnsi="Times New Roman"/>
      <w:color w:val="auto"/>
      <w:kern w:val="1"/>
      <w:sz w:val="24"/>
      <w:szCs w:val="24"/>
      <w:lang w:eastAsia="ar-SA"/>
    </w:rPr>
  </w:style>
  <w:style w:type="paragraph" w:customStyle="1" w:styleId="Intestazionetabella">
    <w:name w:val="Intestazione tabella"/>
    <w:basedOn w:val="Contenutotabella"/>
    <w:rsid w:val="00A8227E"/>
    <w:pPr>
      <w:jc w:val="center"/>
    </w:pPr>
    <w:rPr>
      <w:b/>
      <w:bCs/>
    </w:rPr>
  </w:style>
  <w:style w:type="paragraph" w:customStyle="1" w:styleId="Predefinito1LTGliederung1">
    <w:name w:val="Predefinito 1~LT~Gliederung 1"/>
    <w:rsid w:val="00A8227E"/>
    <w:pPr>
      <w:widowControl w:val="0"/>
      <w:suppressAutoHyphens/>
      <w:autoSpaceDE w:val="0"/>
      <w:spacing w:after="283" w:line="240" w:lineRule="auto"/>
    </w:pPr>
    <w:rPr>
      <w:rFonts w:ascii="Mangal" w:eastAsia="Mangal" w:hAnsi="Mangal" w:cs="Mangal"/>
      <w:color w:val="000000"/>
      <w:kern w:val="1"/>
      <w:sz w:val="56"/>
      <w:szCs w:val="56"/>
      <w:lang w:eastAsia="hi-IN" w:bidi="hi-IN"/>
    </w:rPr>
  </w:style>
  <w:style w:type="character" w:customStyle="1" w:styleId="sender">
    <w:name w:val="sender"/>
    <w:basedOn w:val="Carpredefinitoparagrafo"/>
    <w:rsid w:val="00A8227E"/>
  </w:style>
  <w:style w:type="paragraph" w:customStyle="1" w:styleId="Predefinito1LTTitel">
    <w:name w:val="Predefinito 1~LT~Titel"/>
    <w:rsid w:val="00A8227E"/>
    <w:pPr>
      <w:widowControl w:val="0"/>
      <w:suppressAutoHyphens/>
      <w:autoSpaceDE w:val="0"/>
      <w:spacing w:after="0" w:line="240" w:lineRule="auto"/>
    </w:pPr>
    <w:rPr>
      <w:rFonts w:ascii="Mangal" w:eastAsia="Mangal" w:hAnsi="Mangal" w:cs="Mangal"/>
      <w:color w:val="000000"/>
      <w:kern w:val="1"/>
      <w:sz w:val="36"/>
      <w:szCs w:val="36"/>
      <w:lang w:eastAsia="hi-IN" w:bidi="hi-IN"/>
    </w:rPr>
  </w:style>
  <w:style w:type="character" w:customStyle="1" w:styleId="fontstyle01">
    <w:name w:val="fontstyle01"/>
    <w:basedOn w:val="Carpredefinitoparagrafo"/>
    <w:rsid w:val="00A8227E"/>
    <w:rPr>
      <w:rFonts w:ascii="Minion-Regular" w:hAnsi="Minion-Regular" w:hint="default"/>
      <w:b w:val="0"/>
      <w:bCs w:val="0"/>
      <w:i w:val="0"/>
      <w:iCs w:val="0"/>
      <w:color w:val="000000"/>
      <w:sz w:val="20"/>
      <w:szCs w:val="20"/>
    </w:rPr>
  </w:style>
  <w:style w:type="character" w:customStyle="1" w:styleId="fontstyle21">
    <w:name w:val="fontstyle21"/>
    <w:basedOn w:val="Carpredefinitoparagrafo"/>
    <w:rsid w:val="00A8227E"/>
    <w:rPr>
      <w:rFonts w:ascii="Minion-Italic" w:hAnsi="Minion-Italic" w:hint="default"/>
      <w:b w:val="0"/>
      <w:bCs w:val="0"/>
      <w:i/>
      <w:iCs/>
      <w:color w:val="000000"/>
      <w:sz w:val="20"/>
      <w:szCs w:val="20"/>
    </w:rPr>
  </w:style>
  <w:style w:type="character" w:customStyle="1" w:styleId="st">
    <w:name w:val="st"/>
    <w:basedOn w:val="Carpredefinitoparagrafo"/>
    <w:rsid w:val="00A8227E"/>
  </w:style>
  <w:style w:type="character" w:customStyle="1" w:styleId="invisible">
    <w:name w:val="invisible"/>
    <w:basedOn w:val="Carpredefinitoparagrafo"/>
    <w:rsid w:val="00A8227E"/>
  </w:style>
  <w:style w:type="paragraph" w:customStyle="1" w:styleId="autorelistarisultati">
    <w:name w:val="autorelistarisultati"/>
    <w:basedOn w:val="Normale"/>
    <w:rsid w:val="00A8227E"/>
    <w:pPr>
      <w:suppressAutoHyphens w:val="0"/>
      <w:spacing w:before="100" w:beforeAutospacing="1" w:after="100" w:afterAutospacing="1" w:line="240" w:lineRule="auto"/>
    </w:pPr>
    <w:rPr>
      <w:rFonts w:ascii="Times New Roman" w:hAnsi="Times New Roman"/>
      <w:color w:val="auto"/>
      <w:sz w:val="24"/>
      <w:szCs w:val="24"/>
      <w:lang w:eastAsia="it-IT"/>
    </w:rPr>
  </w:style>
  <w:style w:type="paragraph" w:customStyle="1" w:styleId="testolistarisultati">
    <w:name w:val="testolistarisultati"/>
    <w:basedOn w:val="Normale"/>
    <w:rsid w:val="00A8227E"/>
    <w:pPr>
      <w:suppressAutoHyphens w:val="0"/>
      <w:spacing w:before="100" w:beforeAutospacing="1" w:after="100" w:afterAutospacing="1" w:line="240" w:lineRule="auto"/>
    </w:pPr>
    <w:rPr>
      <w:rFonts w:ascii="Times New Roman" w:hAnsi="Times New Roman"/>
      <w:color w:val="auto"/>
      <w:sz w:val="24"/>
      <w:szCs w:val="24"/>
      <w:lang w:eastAsia="it-IT"/>
    </w:rPr>
  </w:style>
  <w:style w:type="character" w:customStyle="1" w:styleId="meta-editore">
    <w:name w:val="meta-editore"/>
    <w:basedOn w:val="Carpredefinitoparagrafo"/>
    <w:rsid w:val="00A8227E"/>
  </w:style>
  <w:style w:type="character" w:customStyle="1" w:styleId="meta-annopubblicazione">
    <w:name w:val="meta-annopubblicazione"/>
    <w:basedOn w:val="Carpredefinitoparagrafo"/>
    <w:rsid w:val="00A8227E"/>
  </w:style>
  <w:style w:type="character" w:styleId="CitazioneHTML">
    <w:name w:val="HTML Cite"/>
    <w:basedOn w:val="Carpredefinitoparagrafo"/>
    <w:uiPriority w:val="99"/>
    <w:rsid w:val="00A8227E"/>
    <w:rPr>
      <w:i/>
      <w:iCs/>
    </w:rPr>
  </w:style>
  <w:style w:type="character" w:customStyle="1" w:styleId="Sottotitolo1">
    <w:name w:val="Sottotitolo1"/>
    <w:basedOn w:val="Carpredefinitoparagrafo"/>
    <w:rsid w:val="00A8227E"/>
  </w:style>
  <w:style w:type="paragraph" w:customStyle="1" w:styleId="Chicagoabstract">
    <w:name w:val="Chicago_abstract"/>
    <w:basedOn w:val="Normale"/>
    <w:qFormat/>
    <w:rsid w:val="00A8227E"/>
    <w:pPr>
      <w:widowControl w:val="0"/>
      <w:tabs>
        <w:tab w:val="left" w:pos="0"/>
        <w:tab w:val="left" w:pos="220"/>
      </w:tabs>
      <w:suppressAutoHyphens w:val="0"/>
      <w:autoSpaceDE w:val="0"/>
      <w:autoSpaceDN w:val="0"/>
      <w:adjustRightInd w:val="0"/>
      <w:spacing w:after="240" w:line="360" w:lineRule="atLeast"/>
      <w:jc w:val="both"/>
    </w:pPr>
    <w:rPr>
      <w:rFonts w:ascii="Times New Roman" w:eastAsiaTheme="minorEastAsia" w:hAnsi="Times New Roman"/>
      <w:noProof/>
      <w:color w:val="000000"/>
      <w:sz w:val="20"/>
      <w:szCs w:val="20"/>
    </w:rPr>
  </w:style>
  <w:style w:type="paragraph" w:customStyle="1" w:styleId="Chicagotitle">
    <w:name w:val="Chicago_title"/>
    <w:basedOn w:val="Normale"/>
    <w:qFormat/>
    <w:rsid w:val="00A8227E"/>
    <w:pPr>
      <w:widowControl w:val="0"/>
      <w:tabs>
        <w:tab w:val="left" w:pos="0"/>
        <w:tab w:val="left" w:pos="220"/>
      </w:tabs>
      <w:suppressAutoHyphens w:val="0"/>
      <w:autoSpaceDE w:val="0"/>
      <w:autoSpaceDN w:val="0"/>
      <w:adjustRightInd w:val="0"/>
      <w:spacing w:after="240" w:line="360" w:lineRule="atLeast"/>
      <w:jc w:val="both"/>
    </w:pPr>
    <w:rPr>
      <w:rFonts w:ascii="Times New Roman" w:eastAsiaTheme="minorEastAsia" w:hAnsi="Times New Roman"/>
      <w:color w:val="000000"/>
      <w:sz w:val="20"/>
      <w:szCs w:val="20"/>
    </w:rPr>
  </w:style>
  <w:style w:type="paragraph" w:customStyle="1" w:styleId="Chicagorext">
    <w:name w:val="Chicago_rext"/>
    <w:basedOn w:val="Normale"/>
    <w:qFormat/>
    <w:rsid w:val="00A8227E"/>
    <w:pPr>
      <w:widowControl w:val="0"/>
      <w:tabs>
        <w:tab w:val="left" w:pos="0"/>
        <w:tab w:val="left" w:pos="220"/>
      </w:tabs>
      <w:suppressAutoHyphens w:val="0"/>
      <w:autoSpaceDE w:val="0"/>
      <w:autoSpaceDN w:val="0"/>
      <w:adjustRightInd w:val="0"/>
      <w:spacing w:after="240" w:line="480" w:lineRule="auto"/>
      <w:jc w:val="both"/>
    </w:pPr>
    <w:rPr>
      <w:rFonts w:ascii="Times New Roman" w:eastAsiaTheme="minorEastAsia" w:hAnsi="Times New Roman"/>
      <w:color w:val="000000"/>
      <w:sz w:val="20"/>
      <w:szCs w:val="20"/>
    </w:rPr>
  </w:style>
  <w:style w:type="paragraph" w:customStyle="1" w:styleId="Logo">
    <w:name w:val="Logo"/>
    <w:basedOn w:val="Normale"/>
    <w:autoRedefine/>
    <w:rsid w:val="00A8227E"/>
    <w:pPr>
      <w:widowControl w:val="0"/>
      <w:tabs>
        <w:tab w:val="left" w:pos="0"/>
        <w:tab w:val="left" w:pos="220"/>
      </w:tabs>
      <w:suppressAutoHyphens w:val="0"/>
      <w:autoSpaceDE w:val="0"/>
      <w:autoSpaceDN w:val="0"/>
      <w:adjustRightInd w:val="0"/>
      <w:spacing w:after="240" w:line="360" w:lineRule="atLeast"/>
      <w:ind w:right="-108"/>
      <w:jc w:val="both"/>
    </w:pPr>
    <w:rPr>
      <w:rFonts w:ascii="Times New Roman" w:eastAsiaTheme="minorEastAsia" w:hAnsi="Times New Roman"/>
      <w:color w:val="000000"/>
      <w:sz w:val="20"/>
      <w:szCs w:val="20"/>
      <w:lang w:eastAsia="en-GB"/>
    </w:rPr>
  </w:style>
  <w:style w:type="paragraph" w:customStyle="1" w:styleId="NAME">
    <w:name w:val="NAME"/>
    <w:basedOn w:val="Normale"/>
    <w:link w:val="NAMEChar"/>
    <w:autoRedefine/>
    <w:qFormat/>
    <w:rsid w:val="00A8227E"/>
    <w:pPr>
      <w:widowControl w:val="0"/>
      <w:tabs>
        <w:tab w:val="left" w:pos="0"/>
        <w:tab w:val="left" w:pos="220"/>
      </w:tabs>
      <w:suppressAutoHyphens w:val="0"/>
      <w:autoSpaceDE w:val="0"/>
      <w:autoSpaceDN w:val="0"/>
      <w:adjustRightInd w:val="0"/>
      <w:spacing w:before="360" w:after="240" w:line="360" w:lineRule="atLeast"/>
      <w:contextualSpacing/>
      <w:jc w:val="both"/>
    </w:pPr>
    <w:rPr>
      <w:rFonts w:ascii="Times New Roman" w:eastAsiaTheme="minorEastAsia" w:hAnsi="Times New Roman"/>
      <w:caps/>
      <w:color w:val="000000"/>
      <w:sz w:val="32"/>
      <w:szCs w:val="20"/>
      <w:lang w:eastAsia="en-GB"/>
    </w:rPr>
  </w:style>
  <w:style w:type="character" w:customStyle="1" w:styleId="NAMEChar">
    <w:name w:val="NAME Char"/>
    <w:link w:val="NAME"/>
    <w:rsid w:val="00A8227E"/>
    <w:rPr>
      <w:rFonts w:ascii="Times New Roman" w:eastAsiaTheme="minorEastAsia" w:hAnsi="Times New Roman" w:cs="Times New Roman"/>
      <w:caps/>
      <w:color w:val="000000"/>
      <w:sz w:val="32"/>
      <w:szCs w:val="20"/>
      <w:lang w:val="en-GB" w:eastAsia="en-GB"/>
    </w:rPr>
  </w:style>
  <w:style w:type="paragraph" w:customStyle="1" w:styleId="Affiliation">
    <w:name w:val="Affiliation"/>
    <w:basedOn w:val="Normale"/>
    <w:link w:val="AffiliationChar"/>
    <w:autoRedefine/>
    <w:qFormat/>
    <w:rsid w:val="00A8227E"/>
    <w:pPr>
      <w:widowControl w:val="0"/>
      <w:tabs>
        <w:tab w:val="left" w:pos="0"/>
        <w:tab w:val="left" w:pos="220"/>
      </w:tabs>
      <w:suppressAutoHyphens w:val="0"/>
      <w:autoSpaceDE w:val="0"/>
      <w:autoSpaceDN w:val="0"/>
      <w:adjustRightInd w:val="0"/>
      <w:spacing w:after="240" w:line="360" w:lineRule="atLeast"/>
      <w:contextualSpacing/>
      <w:jc w:val="both"/>
    </w:pPr>
    <w:rPr>
      <w:rFonts w:ascii="Times New Roman" w:eastAsiaTheme="minorEastAsia" w:hAnsi="Times New Roman"/>
      <w:i/>
      <w:color w:val="000000"/>
      <w:sz w:val="20"/>
      <w:szCs w:val="20"/>
      <w:lang w:eastAsia="en-GB"/>
    </w:rPr>
  </w:style>
  <w:style w:type="character" w:customStyle="1" w:styleId="AffiliationChar">
    <w:name w:val="Affiliation Char"/>
    <w:basedOn w:val="Carpredefinitoparagrafo"/>
    <w:link w:val="Affiliation"/>
    <w:rsid w:val="00A8227E"/>
    <w:rPr>
      <w:rFonts w:ascii="Times New Roman" w:eastAsiaTheme="minorEastAsia" w:hAnsi="Times New Roman" w:cs="Times New Roman"/>
      <w:i/>
      <w:color w:val="000000"/>
      <w:sz w:val="20"/>
      <w:szCs w:val="20"/>
      <w:lang w:val="en-GB" w:eastAsia="en-GB"/>
    </w:rPr>
  </w:style>
  <w:style w:type="paragraph" w:customStyle="1" w:styleId="Abstracttitle">
    <w:name w:val="Abstract title"/>
    <w:basedOn w:val="Normale"/>
    <w:autoRedefine/>
    <w:qFormat/>
    <w:rsid w:val="00A8227E"/>
    <w:pPr>
      <w:widowControl w:val="0"/>
      <w:tabs>
        <w:tab w:val="left" w:pos="0"/>
        <w:tab w:val="left" w:pos="220"/>
      </w:tabs>
      <w:suppressAutoHyphens w:val="0"/>
      <w:autoSpaceDE w:val="0"/>
      <w:autoSpaceDN w:val="0"/>
      <w:adjustRightInd w:val="0"/>
      <w:spacing w:before="360" w:after="240" w:line="360" w:lineRule="atLeast"/>
      <w:jc w:val="both"/>
    </w:pPr>
    <w:rPr>
      <w:rFonts w:ascii="Times New Roman" w:eastAsiaTheme="minorEastAsia" w:hAnsi="Times New Roman"/>
      <w:b/>
      <w:i/>
      <w:color w:val="000000"/>
      <w:sz w:val="20"/>
      <w:szCs w:val="20"/>
      <w:lang w:eastAsia="it-IT"/>
    </w:rPr>
  </w:style>
  <w:style w:type="paragraph" w:customStyle="1" w:styleId="Abstract">
    <w:name w:val="Abstract"/>
    <w:basedOn w:val="Normale"/>
    <w:link w:val="AbstractChar"/>
    <w:autoRedefine/>
    <w:qFormat/>
    <w:rsid w:val="00A8227E"/>
    <w:pPr>
      <w:widowControl w:val="0"/>
      <w:tabs>
        <w:tab w:val="left" w:pos="0"/>
        <w:tab w:val="left" w:pos="220"/>
      </w:tabs>
      <w:suppressAutoHyphens w:val="0"/>
      <w:autoSpaceDE w:val="0"/>
      <w:autoSpaceDN w:val="0"/>
      <w:adjustRightInd w:val="0"/>
      <w:spacing w:after="240" w:line="360" w:lineRule="atLeast"/>
      <w:jc w:val="both"/>
    </w:pPr>
    <w:rPr>
      <w:rFonts w:ascii="Times New Roman" w:eastAsiaTheme="minorEastAsia" w:hAnsi="Times New Roman"/>
      <w:i/>
      <w:color w:val="000000"/>
      <w:sz w:val="20"/>
      <w:szCs w:val="20"/>
      <w:lang w:eastAsia="en-GB"/>
    </w:rPr>
  </w:style>
  <w:style w:type="character" w:customStyle="1" w:styleId="AbstractChar">
    <w:name w:val="Abstract Char"/>
    <w:basedOn w:val="Carpredefinitoparagrafo"/>
    <w:link w:val="Abstract"/>
    <w:rsid w:val="00A8227E"/>
    <w:rPr>
      <w:rFonts w:ascii="Times New Roman" w:eastAsiaTheme="minorEastAsia" w:hAnsi="Times New Roman" w:cs="Times New Roman"/>
      <w:i/>
      <w:color w:val="000000"/>
      <w:sz w:val="20"/>
      <w:szCs w:val="20"/>
      <w:lang w:val="en-GB" w:eastAsia="en-GB"/>
    </w:rPr>
  </w:style>
  <w:style w:type="paragraph" w:customStyle="1" w:styleId="Email">
    <w:name w:val="Email"/>
    <w:basedOn w:val="Normale"/>
    <w:link w:val="EmailChar"/>
    <w:autoRedefine/>
    <w:qFormat/>
    <w:rsid w:val="00A8227E"/>
    <w:pPr>
      <w:widowControl w:val="0"/>
      <w:tabs>
        <w:tab w:val="left" w:pos="0"/>
        <w:tab w:val="left" w:pos="220"/>
      </w:tabs>
      <w:suppressAutoHyphens w:val="0"/>
      <w:autoSpaceDE w:val="0"/>
      <w:autoSpaceDN w:val="0"/>
      <w:adjustRightInd w:val="0"/>
      <w:spacing w:after="240" w:line="360" w:lineRule="atLeast"/>
      <w:contextualSpacing/>
      <w:jc w:val="both"/>
    </w:pPr>
    <w:rPr>
      <w:rFonts w:ascii="Times New Roman" w:eastAsiaTheme="minorEastAsia" w:hAnsi="Times New Roman"/>
      <w:i/>
      <w:color w:val="000000"/>
      <w:sz w:val="20"/>
      <w:szCs w:val="20"/>
      <w:lang w:eastAsia="en-GB"/>
    </w:rPr>
  </w:style>
  <w:style w:type="character" w:customStyle="1" w:styleId="EmailChar">
    <w:name w:val="Email Char"/>
    <w:basedOn w:val="Carpredefinitoparagrafo"/>
    <w:link w:val="Email"/>
    <w:rsid w:val="00A8227E"/>
    <w:rPr>
      <w:rFonts w:ascii="Times New Roman" w:eastAsiaTheme="minorEastAsia" w:hAnsi="Times New Roman" w:cs="Times New Roman"/>
      <w:i/>
      <w:color w:val="000000"/>
      <w:sz w:val="20"/>
      <w:szCs w:val="20"/>
      <w:lang w:val="en-GB" w:eastAsia="en-GB"/>
    </w:rPr>
  </w:style>
  <w:style w:type="paragraph" w:customStyle="1" w:styleId="Journal">
    <w:name w:val="Journal"/>
    <w:basedOn w:val="NAME"/>
    <w:link w:val="JournalChar"/>
    <w:autoRedefine/>
    <w:qFormat/>
    <w:rsid w:val="00A8227E"/>
    <w:pPr>
      <w:spacing w:after="0"/>
      <w:jc w:val="right"/>
    </w:pPr>
    <w:rPr>
      <w:i/>
      <w:caps w:val="0"/>
      <w:sz w:val="20"/>
    </w:rPr>
  </w:style>
  <w:style w:type="character" w:customStyle="1" w:styleId="JournalChar">
    <w:name w:val="Journal Char"/>
    <w:basedOn w:val="NAMEChar"/>
    <w:link w:val="Journal"/>
    <w:rsid w:val="00A8227E"/>
    <w:rPr>
      <w:rFonts w:ascii="Times New Roman" w:eastAsiaTheme="minorEastAsia" w:hAnsi="Times New Roman" w:cs="Times New Roman"/>
      <w:i/>
      <w:caps w:val="0"/>
      <w:color w:val="000000"/>
      <w:sz w:val="20"/>
      <w:szCs w:val="20"/>
      <w:lang w:val="en-GB" w:eastAsia="en-GB"/>
    </w:rPr>
  </w:style>
  <w:style w:type="character" w:customStyle="1" w:styleId="NormalChar">
    <w:name w:val="Normal Char"/>
    <w:basedOn w:val="Carpredefinitoparagrafo"/>
    <w:rsid w:val="00A8227E"/>
    <w:rPr>
      <w:rFonts w:ascii="Georgia" w:hAnsi="Georgia"/>
      <w:sz w:val="24"/>
      <w:lang w:val="en-US"/>
    </w:rPr>
  </w:style>
  <w:style w:type="paragraph" w:styleId="Citazione">
    <w:name w:val="Quote"/>
    <w:basedOn w:val="Normale"/>
    <w:link w:val="CitazioneCarattere"/>
    <w:autoRedefine/>
    <w:qFormat/>
    <w:rsid w:val="00A8227E"/>
    <w:pPr>
      <w:widowControl w:val="0"/>
      <w:tabs>
        <w:tab w:val="left" w:pos="0"/>
        <w:tab w:val="left" w:pos="567"/>
        <w:tab w:val="right" w:pos="6379"/>
        <w:tab w:val="left" w:pos="7371"/>
      </w:tabs>
      <w:suppressAutoHyphens w:val="0"/>
      <w:autoSpaceDE w:val="0"/>
      <w:autoSpaceDN w:val="0"/>
      <w:adjustRightInd w:val="0"/>
      <w:spacing w:before="240" w:after="240" w:line="360" w:lineRule="atLeast"/>
      <w:ind w:right="651"/>
      <w:contextualSpacing/>
      <w:jc w:val="both"/>
    </w:pPr>
    <w:rPr>
      <w:rFonts w:ascii="Times New Roman" w:eastAsiaTheme="minorEastAsia" w:hAnsi="Times New Roman"/>
      <w:i/>
      <w:color w:val="000000"/>
      <w:sz w:val="18"/>
      <w:szCs w:val="20"/>
    </w:rPr>
  </w:style>
  <w:style w:type="character" w:customStyle="1" w:styleId="CitazioneCarattere">
    <w:name w:val="Citazione Carattere"/>
    <w:basedOn w:val="Carpredefinitoparagrafo"/>
    <w:link w:val="Citazione"/>
    <w:rsid w:val="00A8227E"/>
    <w:rPr>
      <w:rFonts w:ascii="Times New Roman" w:eastAsiaTheme="minorEastAsia" w:hAnsi="Times New Roman" w:cs="Times New Roman"/>
      <w:i/>
      <w:color w:val="000000"/>
      <w:sz w:val="18"/>
      <w:szCs w:val="20"/>
      <w:lang w:val="en-GB"/>
    </w:rPr>
  </w:style>
  <w:style w:type="paragraph" w:customStyle="1" w:styleId="Figuretitle">
    <w:name w:val="Figure title"/>
    <w:basedOn w:val="Normale"/>
    <w:autoRedefine/>
    <w:qFormat/>
    <w:rsid w:val="00A8227E"/>
    <w:pPr>
      <w:widowControl w:val="0"/>
      <w:tabs>
        <w:tab w:val="left" w:pos="0"/>
        <w:tab w:val="left" w:pos="220"/>
      </w:tabs>
      <w:suppressAutoHyphens w:val="0"/>
      <w:autoSpaceDE w:val="0"/>
      <w:autoSpaceDN w:val="0"/>
      <w:adjustRightInd w:val="0"/>
      <w:spacing w:before="240" w:after="240" w:line="360" w:lineRule="atLeast"/>
      <w:jc w:val="center"/>
    </w:pPr>
    <w:rPr>
      <w:rFonts w:ascii="Times New Roman" w:eastAsiaTheme="minorEastAsia" w:hAnsi="Times New Roman"/>
      <w:b/>
      <w:bCs/>
      <w:color w:val="000000"/>
      <w:sz w:val="20"/>
      <w:szCs w:val="20"/>
    </w:rPr>
  </w:style>
  <w:style w:type="paragraph" w:customStyle="1" w:styleId="Authorinfo">
    <w:name w:val="Author info"/>
    <w:basedOn w:val="Normale"/>
    <w:link w:val="AuthorinfoChar1"/>
    <w:autoRedefine/>
    <w:rsid w:val="00A8227E"/>
    <w:pPr>
      <w:widowControl w:val="0"/>
      <w:tabs>
        <w:tab w:val="left" w:pos="0"/>
        <w:tab w:val="left" w:pos="220"/>
      </w:tabs>
      <w:suppressAutoHyphens w:val="0"/>
      <w:autoSpaceDE w:val="0"/>
      <w:autoSpaceDN w:val="0"/>
      <w:adjustRightInd w:val="0"/>
      <w:spacing w:after="240" w:line="360" w:lineRule="atLeast"/>
      <w:contextualSpacing/>
      <w:jc w:val="both"/>
    </w:pPr>
    <w:rPr>
      <w:rFonts w:ascii="Times New Roman" w:eastAsiaTheme="minorEastAsia" w:hAnsi="Times New Roman"/>
      <w:i/>
      <w:color w:val="000000"/>
      <w:sz w:val="20"/>
      <w:szCs w:val="20"/>
      <w:lang w:eastAsia="en-GB"/>
    </w:rPr>
  </w:style>
  <w:style w:type="character" w:customStyle="1" w:styleId="AuthorinfoChar1">
    <w:name w:val="Author info Char1"/>
    <w:basedOn w:val="Carpredefinitoparagrafo"/>
    <w:link w:val="Authorinfo"/>
    <w:rsid w:val="00A8227E"/>
    <w:rPr>
      <w:rFonts w:ascii="Times New Roman" w:eastAsiaTheme="minorEastAsia" w:hAnsi="Times New Roman" w:cs="Times New Roman"/>
      <w:i/>
      <w:color w:val="000000"/>
      <w:sz w:val="20"/>
      <w:szCs w:val="20"/>
      <w:lang w:val="en-GB" w:eastAsia="en-GB"/>
    </w:rPr>
  </w:style>
  <w:style w:type="paragraph" w:customStyle="1" w:styleId="Keywords">
    <w:name w:val="Keywords"/>
    <w:basedOn w:val="Normale"/>
    <w:link w:val="KeywordsChar"/>
    <w:autoRedefine/>
    <w:rsid w:val="00A8227E"/>
    <w:pPr>
      <w:widowControl w:val="0"/>
      <w:tabs>
        <w:tab w:val="left" w:pos="0"/>
        <w:tab w:val="left" w:pos="220"/>
      </w:tabs>
      <w:suppressAutoHyphens w:val="0"/>
      <w:autoSpaceDE w:val="0"/>
      <w:autoSpaceDN w:val="0"/>
      <w:adjustRightInd w:val="0"/>
      <w:spacing w:before="240" w:after="240" w:line="360" w:lineRule="atLeast"/>
      <w:jc w:val="both"/>
    </w:pPr>
    <w:rPr>
      <w:rFonts w:ascii="Times New Roman" w:eastAsiaTheme="minorEastAsia" w:hAnsi="Times New Roman"/>
      <w:color w:val="000000"/>
      <w:sz w:val="20"/>
      <w:szCs w:val="20"/>
      <w:lang w:eastAsia="it-IT"/>
    </w:rPr>
  </w:style>
  <w:style w:type="character" w:customStyle="1" w:styleId="KeywordsChar">
    <w:name w:val="Keywords Char"/>
    <w:basedOn w:val="Carpredefinitoparagrafo"/>
    <w:link w:val="Keywords"/>
    <w:rsid w:val="00A8227E"/>
    <w:rPr>
      <w:rFonts w:ascii="Times New Roman" w:eastAsiaTheme="minorEastAsia" w:hAnsi="Times New Roman" w:cs="Times New Roman"/>
      <w:color w:val="000000"/>
      <w:sz w:val="20"/>
      <w:szCs w:val="20"/>
      <w:lang w:val="en-GB" w:eastAsia="it-IT"/>
    </w:rPr>
  </w:style>
  <w:style w:type="paragraph" w:customStyle="1" w:styleId="References">
    <w:name w:val="References"/>
    <w:basedOn w:val="Normale"/>
    <w:autoRedefine/>
    <w:qFormat/>
    <w:rsid w:val="00A8227E"/>
    <w:pPr>
      <w:widowControl w:val="0"/>
      <w:tabs>
        <w:tab w:val="left" w:pos="0"/>
        <w:tab w:val="left" w:pos="220"/>
      </w:tabs>
      <w:suppressAutoHyphens w:val="0"/>
      <w:autoSpaceDE w:val="0"/>
      <w:autoSpaceDN w:val="0"/>
      <w:adjustRightInd w:val="0"/>
      <w:spacing w:after="240" w:line="360" w:lineRule="atLeast"/>
      <w:ind w:left="340" w:hanging="340"/>
      <w:jc w:val="both"/>
    </w:pPr>
    <w:rPr>
      <w:rFonts w:ascii="Times New Roman" w:eastAsiaTheme="minorEastAsia" w:hAnsi="Times New Roman"/>
      <w:color w:val="000000"/>
      <w:sz w:val="20"/>
      <w:szCs w:val="20"/>
    </w:rPr>
  </w:style>
  <w:style w:type="character" w:styleId="Titolodellibro">
    <w:name w:val="Book Title"/>
    <w:basedOn w:val="Carpredefinitoparagrafo"/>
    <w:uiPriority w:val="33"/>
    <w:qFormat/>
    <w:rsid w:val="00A8227E"/>
    <w:rPr>
      <w:b/>
      <w:bCs/>
      <w:smallCaps/>
      <w:spacing w:val="5"/>
    </w:rPr>
  </w:style>
  <w:style w:type="paragraph" w:customStyle="1" w:styleId="Predefinito">
    <w:name w:val="Predefinito"/>
    <w:rsid w:val="00A8227E"/>
    <w:pPr>
      <w:widowControl w:val="0"/>
      <w:autoSpaceDE w:val="0"/>
      <w:autoSpaceDN w:val="0"/>
      <w:adjustRightInd w:val="0"/>
      <w:spacing w:after="0" w:line="240" w:lineRule="auto"/>
    </w:pPr>
    <w:rPr>
      <w:rFonts w:ascii="Times New Roman" w:eastAsia="Times New Roman" w:hAnsi="Times New Roman" w:cs="Times New Roman"/>
      <w:kern w:val="1"/>
      <w:sz w:val="20"/>
      <w:szCs w:val="20"/>
      <w:lang w:val="en-GB" w:eastAsia="it-IT"/>
    </w:rPr>
  </w:style>
  <w:style w:type="character" w:customStyle="1" w:styleId="hps">
    <w:name w:val="hps"/>
    <w:basedOn w:val="Carpredefinitoparagrafo"/>
    <w:rsid w:val="00A8227E"/>
  </w:style>
  <w:style w:type="character" w:customStyle="1" w:styleId="CorpodeltestoCarattere">
    <w:name w:val="Corpo del testo Carattere"/>
    <w:uiPriority w:val="99"/>
    <w:rsid w:val="00A8227E"/>
    <w:rPr>
      <w:rFonts w:ascii="Calibri" w:eastAsia="Times New Roman" w:hAnsi="Calibri" w:cs="Times New Roman"/>
      <w:color w:val="00000A"/>
    </w:rPr>
  </w:style>
  <w:style w:type="paragraph" w:customStyle="1" w:styleId="Elencoacolori-Colore11">
    <w:name w:val="Elenco a colori - Colore 11"/>
    <w:basedOn w:val="Normale"/>
    <w:uiPriority w:val="34"/>
    <w:qFormat/>
    <w:rsid w:val="00A8227E"/>
    <w:pPr>
      <w:suppressAutoHyphens w:val="0"/>
      <w:spacing w:after="0" w:line="240" w:lineRule="auto"/>
      <w:ind w:left="720"/>
      <w:contextualSpacing/>
    </w:pPr>
    <w:rPr>
      <w:rFonts w:ascii="Times New Roman" w:hAnsi="Times New Roman"/>
      <w:color w:val="auto"/>
      <w:sz w:val="24"/>
      <w:szCs w:val="24"/>
      <w:lang w:eastAsia="it-IT"/>
    </w:rPr>
  </w:style>
  <w:style w:type="character" w:customStyle="1" w:styleId="addmd">
    <w:name w:val="addmd"/>
    <w:basedOn w:val="Carpredefinitoparagrafo"/>
    <w:rsid w:val="00A8227E"/>
  </w:style>
  <w:style w:type="character" w:customStyle="1" w:styleId="Titolo10">
    <w:name w:val="Titolo1"/>
    <w:basedOn w:val="Carpredefinitoparagrafo"/>
    <w:rsid w:val="00A8227E"/>
  </w:style>
  <w:style w:type="paragraph" w:customStyle="1" w:styleId="Stile">
    <w:name w:val="Stile"/>
    <w:basedOn w:val="Normale"/>
    <w:next w:val="Corpotesto"/>
    <w:uiPriority w:val="99"/>
    <w:rsid w:val="00A8227E"/>
    <w:pPr>
      <w:spacing w:after="120"/>
    </w:pPr>
    <w:rPr>
      <w:sz w:val="20"/>
      <w:szCs w:val="20"/>
      <w:lang w:eastAsia="en-GB"/>
    </w:rPr>
  </w:style>
  <w:style w:type="character" w:customStyle="1" w:styleId="hlfld-title">
    <w:name w:val="hlfld-title"/>
    <w:basedOn w:val="Carpredefinitoparagrafo"/>
    <w:rsid w:val="00A8227E"/>
  </w:style>
  <w:style w:type="character" w:customStyle="1" w:styleId="slug-pub-date">
    <w:name w:val="slug-pub-date"/>
    <w:basedOn w:val="Carpredefinitoparagrafo"/>
    <w:rsid w:val="00A8227E"/>
  </w:style>
  <w:style w:type="character" w:customStyle="1" w:styleId="slug-vol">
    <w:name w:val="slug-vol"/>
    <w:basedOn w:val="Carpredefinitoparagrafo"/>
    <w:rsid w:val="00A8227E"/>
  </w:style>
  <w:style w:type="character" w:customStyle="1" w:styleId="slug-issue">
    <w:name w:val="slug-issue"/>
    <w:basedOn w:val="Carpredefinitoparagrafo"/>
    <w:rsid w:val="00A8227E"/>
  </w:style>
  <w:style w:type="character" w:customStyle="1" w:styleId="slug-pages">
    <w:name w:val="slug-pages"/>
    <w:basedOn w:val="Carpredefinitoparagrafo"/>
    <w:rsid w:val="00A8227E"/>
  </w:style>
  <w:style w:type="character" w:customStyle="1" w:styleId="Corpodeltesto3Carattere">
    <w:name w:val="Corpo del testo 3 Carattere"/>
    <w:basedOn w:val="Carpredefinitoparagrafo"/>
    <w:link w:val="Corpodeltesto3"/>
    <w:uiPriority w:val="99"/>
    <w:semiHidden/>
    <w:rsid w:val="00A8227E"/>
    <w:rPr>
      <w:rFonts w:ascii="Calibri" w:eastAsia="Times New Roman" w:hAnsi="Calibri" w:cs="Times New Roman"/>
      <w:color w:val="00000A"/>
      <w:sz w:val="16"/>
      <w:szCs w:val="16"/>
    </w:rPr>
  </w:style>
  <w:style w:type="paragraph" w:styleId="Corpodeltesto3">
    <w:name w:val="Body Text 3"/>
    <w:basedOn w:val="Normale"/>
    <w:link w:val="Corpodeltesto3Carattere"/>
    <w:uiPriority w:val="99"/>
    <w:semiHidden/>
    <w:unhideWhenUsed/>
    <w:rsid w:val="00A8227E"/>
    <w:pPr>
      <w:spacing w:after="120"/>
    </w:pPr>
    <w:rPr>
      <w:sz w:val="16"/>
      <w:szCs w:val="16"/>
      <w:lang w:val="it-IT"/>
    </w:rPr>
  </w:style>
  <w:style w:type="character" w:customStyle="1" w:styleId="Corpodeltesto3Carattere1">
    <w:name w:val="Corpo del testo 3 Carattere1"/>
    <w:basedOn w:val="Carpredefinitoparagrafo"/>
    <w:uiPriority w:val="99"/>
    <w:semiHidden/>
    <w:rsid w:val="00A8227E"/>
    <w:rPr>
      <w:rFonts w:ascii="Calibri" w:eastAsia="Times New Roman" w:hAnsi="Calibri" w:cs="Times New Roman"/>
      <w:color w:val="00000A"/>
      <w:sz w:val="16"/>
      <w:szCs w:val="16"/>
      <w:lang w:val="en-GB"/>
    </w:rPr>
  </w:style>
  <w:style w:type="character" w:customStyle="1" w:styleId="mw-headline">
    <w:name w:val="mw-headline"/>
    <w:basedOn w:val="Carpredefinitoparagrafo"/>
    <w:rsid w:val="00A8227E"/>
  </w:style>
  <w:style w:type="character" w:customStyle="1" w:styleId="tocnumber">
    <w:name w:val="tocnumber"/>
    <w:basedOn w:val="Carpredefinitoparagrafo"/>
    <w:rsid w:val="00A8227E"/>
  </w:style>
  <w:style w:type="character" w:customStyle="1" w:styleId="toctext">
    <w:name w:val="toctext"/>
    <w:basedOn w:val="Carpredefinitoparagrafo"/>
    <w:rsid w:val="00A8227E"/>
  </w:style>
  <w:style w:type="character" w:customStyle="1" w:styleId="tx">
    <w:name w:val="tx"/>
    <w:basedOn w:val="Carpredefinitoparagrafo"/>
    <w:rsid w:val="00A8227E"/>
  </w:style>
  <w:style w:type="paragraph" w:customStyle="1" w:styleId="article-lead">
    <w:name w:val="article-lead"/>
    <w:basedOn w:val="Normale"/>
    <w:rsid w:val="00A8227E"/>
    <w:pPr>
      <w:suppressAutoHyphens w:val="0"/>
      <w:spacing w:before="100" w:beforeAutospacing="1" w:after="100" w:afterAutospacing="1" w:line="240" w:lineRule="auto"/>
    </w:pPr>
    <w:rPr>
      <w:rFonts w:ascii="Times New Roman" w:hAnsi="Times New Roman"/>
      <w:color w:val="auto"/>
      <w:sz w:val="24"/>
      <w:szCs w:val="24"/>
      <w:lang w:eastAsia="it-IT"/>
    </w:rPr>
  </w:style>
  <w:style w:type="character" w:customStyle="1" w:styleId="hlfld-contribauthor">
    <w:name w:val="hlfld-contribauthor"/>
    <w:basedOn w:val="Carpredefinitoparagrafo"/>
    <w:rsid w:val="00A8227E"/>
  </w:style>
  <w:style w:type="character" w:styleId="Collegamentovisitato">
    <w:name w:val="FollowedHyperlink"/>
    <w:uiPriority w:val="99"/>
    <w:semiHidden/>
    <w:unhideWhenUsed/>
    <w:rsid w:val="00A8227E"/>
    <w:rPr>
      <w:color w:val="954F72"/>
      <w:u w:val="single"/>
    </w:rPr>
  </w:style>
  <w:style w:type="paragraph" w:styleId="Revisione">
    <w:name w:val="Revision"/>
    <w:hidden/>
    <w:uiPriority w:val="99"/>
    <w:semiHidden/>
    <w:rsid w:val="00A8227E"/>
    <w:pPr>
      <w:spacing w:after="0" w:line="240" w:lineRule="auto"/>
    </w:pPr>
    <w:rPr>
      <w:rFonts w:ascii="Times New Roman" w:eastAsia="SimSun" w:hAnsi="Times New Roman" w:cs="Mangal"/>
      <w:kern w:val="1"/>
      <w:sz w:val="24"/>
      <w:szCs w:val="21"/>
      <w:lang w:eastAsia="hi-IN" w:bidi="hi-IN"/>
    </w:rPr>
  </w:style>
  <w:style w:type="table" w:styleId="Elencoacolori-Colore1">
    <w:name w:val="Colorful List Accent 1"/>
    <w:basedOn w:val="Tabellanormale"/>
    <w:uiPriority w:val="72"/>
    <w:rsid w:val="00A8227E"/>
    <w:pPr>
      <w:spacing w:after="0" w:line="240" w:lineRule="auto"/>
    </w:pPr>
    <w:rPr>
      <w:rFonts w:ascii="Calibri" w:eastAsia="Times New Roman" w:hAnsi="Calibri" w:cs="Times New Roman"/>
      <w:color w:val="000000"/>
      <w:sz w:val="20"/>
      <w:szCs w:val="20"/>
      <w:lang w:eastAsia="it-IT"/>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character" w:customStyle="1" w:styleId="Menzionenonrisolta1">
    <w:name w:val="Menzione non risolta1"/>
    <w:basedOn w:val="Carpredefinitoparagrafo"/>
    <w:uiPriority w:val="99"/>
    <w:semiHidden/>
    <w:unhideWhenUsed/>
    <w:rsid w:val="00A8227E"/>
    <w:rPr>
      <w:color w:val="808080"/>
      <w:shd w:val="clear" w:color="auto" w:fill="E6E6E6"/>
    </w:rPr>
  </w:style>
  <w:style w:type="numbering" w:customStyle="1" w:styleId="Nessunelenco1">
    <w:name w:val="Nessun elenco1"/>
    <w:next w:val="Nessunelenco"/>
    <w:uiPriority w:val="99"/>
    <w:semiHidden/>
    <w:unhideWhenUsed/>
    <w:rsid w:val="00A8227E"/>
  </w:style>
  <w:style w:type="paragraph" w:customStyle="1" w:styleId="Mappadocumento1">
    <w:name w:val="Mappa documento1"/>
    <w:basedOn w:val="Normale"/>
    <w:next w:val="Mappadocumento"/>
    <w:rsid w:val="00A8227E"/>
    <w:pPr>
      <w:suppressAutoHyphens w:val="0"/>
      <w:spacing w:after="0" w:line="240" w:lineRule="auto"/>
    </w:pPr>
    <w:rPr>
      <w:rFonts w:ascii="Lucida Grande" w:eastAsiaTheme="minorHAnsi" w:hAnsi="Lucida Grande" w:cstheme="minorBidi"/>
      <w:color w:val="auto"/>
      <w:sz w:val="24"/>
      <w:szCs w:val="24"/>
    </w:rPr>
  </w:style>
  <w:style w:type="paragraph" w:customStyle="1" w:styleId="Citazione1">
    <w:name w:val="Citazione1"/>
    <w:basedOn w:val="Normale"/>
    <w:next w:val="Citazione"/>
    <w:autoRedefine/>
    <w:qFormat/>
    <w:rsid w:val="00A8227E"/>
    <w:pPr>
      <w:widowControl w:val="0"/>
      <w:tabs>
        <w:tab w:val="left" w:pos="0"/>
        <w:tab w:val="left" w:pos="567"/>
        <w:tab w:val="right" w:pos="6379"/>
        <w:tab w:val="left" w:pos="7371"/>
      </w:tabs>
      <w:suppressAutoHyphens w:val="0"/>
      <w:autoSpaceDE w:val="0"/>
      <w:autoSpaceDN w:val="0"/>
      <w:adjustRightInd w:val="0"/>
      <w:spacing w:before="240" w:after="240" w:line="360" w:lineRule="atLeast"/>
      <w:ind w:right="651"/>
      <w:contextualSpacing/>
      <w:jc w:val="both"/>
    </w:pPr>
    <w:rPr>
      <w:rFonts w:ascii="Times New Roman" w:hAnsi="Times New Roman"/>
      <w:i/>
      <w:color w:val="000000"/>
      <w:sz w:val="18"/>
      <w:szCs w:val="20"/>
    </w:rPr>
  </w:style>
  <w:style w:type="character" w:customStyle="1" w:styleId="TestonotadichiusuraCarattere2">
    <w:name w:val="Testo nota di chiusura Carattere2"/>
    <w:basedOn w:val="Carpredefinitoparagrafo"/>
    <w:uiPriority w:val="99"/>
    <w:semiHidden/>
    <w:rsid w:val="00A8227E"/>
    <w:rPr>
      <w:sz w:val="20"/>
      <w:szCs w:val="20"/>
    </w:rPr>
  </w:style>
  <w:style w:type="character" w:customStyle="1" w:styleId="MappadocumentoCarattere1">
    <w:name w:val="Mappa documento Carattere1"/>
    <w:basedOn w:val="Carpredefinitoparagrafo"/>
    <w:uiPriority w:val="99"/>
    <w:semiHidden/>
    <w:rsid w:val="00A8227E"/>
    <w:rPr>
      <w:rFonts w:ascii="Tahoma" w:hAnsi="Tahoma" w:cs="Tahoma"/>
      <w:sz w:val="16"/>
      <w:szCs w:val="16"/>
    </w:rPr>
  </w:style>
  <w:style w:type="character" w:customStyle="1" w:styleId="CitazioneCarattere1">
    <w:name w:val="Citazione Carattere1"/>
    <w:basedOn w:val="Carpredefinitoparagrafo"/>
    <w:uiPriority w:val="29"/>
    <w:rsid w:val="00A8227E"/>
    <w:rPr>
      <w:i/>
      <w:iCs/>
      <w:color w:val="000000" w:themeColor="text1"/>
    </w:rPr>
  </w:style>
  <w:style w:type="paragraph" w:customStyle="1" w:styleId="h3">
    <w:name w:val="h3"/>
    <w:basedOn w:val="Normale"/>
    <w:link w:val="h3Char"/>
    <w:rsid w:val="00A8227E"/>
    <w:pPr>
      <w:keepNext/>
      <w:spacing w:before="280" w:after="180" w:line="240" w:lineRule="auto"/>
      <w:jc w:val="center"/>
    </w:pPr>
    <w:rPr>
      <w:rFonts w:ascii="Times New Roman" w:hAnsi="Times New Roman"/>
      <w:b/>
      <w:color w:val="auto"/>
    </w:rPr>
  </w:style>
  <w:style w:type="character" w:customStyle="1" w:styleId="h3Char">
    <w:name w:val="h3 Char"/>
    <w:basedOn w:val="Carpredefinitoparagrafo"/>
    <w:link w:val="h3"/>
    <w:rsid w:val="00A8227E"/>
    <w:rPr>
      <w:rFonts w:ascii="Times New Roman" w:eastAsia="Times New Roman" w:hAnsi="Times New Roman" w:cs="Times New Roman"/>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gdrc.org/ngo/accountability/by-what-authority.html"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chart" Target="charts/chart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Diapositiva_di_Microsoft_PowerPoint.sldx"/><Relationship Id="rId11" Type="http://schemas.openxmlformats.org/officeDocument/2006/relationships/chart" Target="charts/chart3.xml"/><Relationship Id="rId5" Type="http://schemas.openxmlformats.org/officeDocument/2006/relationships/image" Target="media/image1.emf"/><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21338;&#22763;&#35770;&#25991;\&#38454;&#27573;&#23567;&#35770;&#25991;\Generic%20structure%20of%20CSR%20report\Data\Data-%20CSRICET.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21338;&#22763;&#35770;&#25991;\DATA\Data-Overall.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21338;&#22763;&#35770;&#25991;\&#38454;&#27573;&#23567;&#35770;&#25991;\Generic%20structure%20of%20CSR%20report\Data\Data-%20CSRICET.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Foglio_di_lavoro_di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'Part-genres'!$D$7</c:f>
              <c:strCache>
                <c:ptCount val="1"/>
                <c:pt idx="0">
                  <c:v>CSR-Ita-T</c:v>
                </c:pt>
              </c:strCache>
            </c:strRef>
          </c:tx>
          <c:invertIfNegative val="0"/>
          <c:cat>
            <c:strRef>
              <c:f>'Part-genres'!$C$8:$C$20</c:f>
              <c:strCache>
                <c:ptCount val="13"/>
                <c:pt idx="0">
                  <c:v>Statement of decision-maker</c:v>
                </c:pt>
                <c:pt idx="1">
                  <c:v>Table of contents</c:v>
                </c:pt>
                <c:pt idx="2">
                  <c:v>Auditor's report</c:v>
                </c:pt>
                <c:pt idx="3">
                  <c:v>Guidelines</c:v>
                </c:pt>
                <c:pt idx="4">
                  <c:v>Indicator</c:v>
                </c:pt>
                <c:pt idx="5">
                  <c:v>Appendix of key facts</c:v>
                </c:pt>
                <c:pt idx="6">
                  <c:v>Glossary</c:v>
                </c:pt>
                <c:pt idx="7">
                  <c:v>Feedback</c:v>
                </c:pt>
                <c:pt idx="8">
                  <c:v>Methodology</c:v>
                </c:pt>
                <c:pt idx="9">
                  <c:v>Cautionary statement</c:v>
                </c:pt>
                <c:pt idx="10">
                  <c:v>Preview</c:v>
                </c:pt>
                <c:pt idx="11">
                  <c:v>Summary</c:v>
                </c:pt>
                <c:pt idx="12">
                  <c:v>Supplement</c:v>
                </c:pt>
              </c:strCache>
            </c:strRef>
          </c:cat>
          <c:val>
            <c:numRef>
              <c:f>'Part-genres'!$D$8:$D$20</c:f>
              <c:numCache>
                <c:formatCode>General</c:formatCode>
                <c:ptCount val="13"/>
                <c:pt idx="0">
                  <c:v>6</c:v>
                </c:pt>
                <c:pt idx="1">
                  <c:v>6</c:v>
                </c:pt>
                <c:pt idx="2">
                  <c:v>7</c:v>
                </c:pt>
                <c:pt idx="3">
                  <c:v>1</c:v>
                </c:pt>
                <c:pt idx="4">
                  <c:v>5</c:v>
                </c:pt>
                <c:pt idx="5">
                  <c:v>3</c:v>
                </c:pt>
                <c:pt idx="6">
                  <c:v>1</c:v>
                </c:pt>
                <c:pt idx="7">
                  <c:v>0</c:v>
                </c:pt>
                <c:pt idx="8">
                  <c:v>13</c:v>
                </c:pt>
                <c:pt idx="9">
                  <c:v>0</c:v>
                </c:pt>
                <c:pt idx="10">
                  <c:v>2</c:v>
                </c:pt>
                <c:pt idx="11">
                  <c:v>1</c:v>
                </c:pt>
                <c:pt idx="12">
                  <c:v>2</c:v>
                </c:pt>
              </c:numCache>
            </c:numRef>
          </c:val>
          <c:extLst>
            <c:ext xmlns:c16="http://schemas.microsoft.com/office/drawing/2014/chart" uri="{C3380CC4-5D6E-409C-BE32-E72D297353CC}">
              <c16:uniqueId val="{00000000-B6D6-4993-B113-A866C04BA41B}"/>
            </c:ext>
          </c:extLst>
        </c:ser>
        <c:ser>
          <c:idx val="1"/>
          <c:order val="1"/>
          <c:tx>
            <c:strRef>
              <c:f>'Part-genres'!$E$7</c:f>
              <c:strCache>
                <c:ptCount val="1"/>
                <c:pt idx="0">
                  <c:v>CSR-Chn-T</c:v>
                </c:pt>
              </c:strCache>
            </c:strRef>
          </c:tx>
          <c:invertIfNegative val="0"/>
          <c:cat>
            <c:strRef>
              <c:f>'Part-genres'!$C$8:$C$20</c:f>
              <c:strCache>
                <c:ptCount val="13"/>
                <c:pt idx="0">
                  <c:v>Statement of decision-maker</c:v>
                </c:pt>
                <c:pt idx="1">
                  <c:v>Table of contents</c:v>
                </c:pt>
                <c:pt idx="2">
                  <c:v>Auditor's report</c:v>
                </c:pt>
                <c:pt idx="3">
                  <c:v>Guidelines</c:v>
                </c:pt>
                <c:pt idx="4">
                  <c:v>Indicator</c:v>
                </c:pt>
                <c:pt idx="5">
                  <c:v>Appendix of key facts</c:v>
                </c:pt>
                <c:pt idx="6">
                  <c:v>Glossary</c:v>
                </c:pt>
                <c:pt idx="7">
                  <c:v>Feedback</c:v>
                </c:pt>
                <c:pt idx="8">
                  <c:v>Methodology</c:v>
                </c:pt>
                <c:pt idx="9">
                  <c:v>Cautionary statement</c:v>
                </c:pt>
                <c:pt idx="10">
                  <c:v>Preview</c:v>
                </c:pt>
                <c:pt idx="11">
                  <c:v>Summary</c:v>
                </c:pt>
                <c:pt idx="12">
                  <c:v>Supplement</c:v>
                </c:pt>
              </c:strCache>
            </c:strRef>
          </c:cat>
          <c:val>
            <c:numRef>
              <c:f>'Part-genres'!$E$8:$E$20</c:f>
              <c:numCache>
                <c:formatCode>General</c:formatCode>
                <c:ptCount val="13"/>
                <c:pt idx="0">
                  <c:v>12</c:v>
                </c:pt>
                <c:pt idx="1">
                  <c:v>6</c:v>
                </c:pt>
                <c:pt idx="2">
                  <c:v>5</c:v>
                </c:pt>
                <c:pt idx="3">
                  <c:v>2</c:v>
                </c:pt>
                <c:pt idx="4">
                  <c:v>6</c:v>
                </c:pt>
                <c:pt idx="5">
                  <c:v>0</c:v>
                </c:pt>
                <c:pt idx="6">
                  <c:v>4</c:v>
                </c:pt>
                <c:pt idx="7">
                  <c:v>5</c:v>
                </c:pt>
                <c:pt idx="8">
                  <c:v>8</c:v>
                </c:pt>
                <c:pt idx="9">
                  <c:v>0</c:v>
                </c:pt>
                <c:pt idx="10">
                  <c:v>0</c:v>
                </c:pt>
                <c:pt idx="11">
                  <c:v>1</c:v>
                </c:pt>
                <c:pt idx="12">
                  <c:v>0</c:v>
                </c:pt>
              </c:numCache>
            </c:numRef>
          </c:val>
          <c:extLst>
            <c:ext xmlns:c16="http://schemas.microsoft.com/office/drawing/2014/chart" uri="{C3380CC4-5D6E-409C-BE32-E72D297353CC}">
              <c16:uniqueId val="{00000001-B6D6-4993-B113-A866C04BA41B}"/>
            </c:ext>
          </c:extLst>
        </c:ser>
        <c:ser>
          <c:idx val="2"/>
          <c:order val="2"/>
          <c:tx>
            <c:strRef>
              <c:f>'Part-genres'!$F$7</c:f>
              <c:strCache>
                <c:ptCount val="1"/>
                <c:pt idx="0">
                  <c:v>CSR-Eng-T</c:v>
                </c:pt>
              </c:strCache>
            </c:strRef>
          </c:tx>
          <c:invertIfNegative val="0"/>
          <c:cat>
            <c:strRef>
              <c:f>'Part-genres'!$C$8:$C$20</c:f>
              <c:strCache>
                <c:ptCount val="13"/>
                <c:pt idx="0">
                  <c:v>Statement of decision-maker</c:v>
                </c:pt>
                <c:pt idx="1">
                  <c:v>Table of contents</c:v>
                </c:pt>
                <c:pt idx="2">
                  <c:v>Auditor's report</c:v>
                </c:pt>
                <c:pt idx="3">
                  <c:v>Guidelines</c:v>
                </c:pt>
                <c:pt idx="4">
                  <c:v>Indicator</c:v>
                </c:pt>
                <c:pt idx="5">
                  <c:v>Appendix of key facts</c:v>
                </c:pt>
                <c:pt idx="6">
                  <c:v>Glossary</c:v>
                </c:pt>
                <c:pt idx="7">
                  <c:v>Feedback</c:v>
                </c:pt>
                <c:pt idx="8">
                  <c:v>Methodology</c:v>
                </c:pt>
                <c:pt idx="9">
                  <c:v>Cautionary statement</c:v>
                </c:pt>
                <c:pt idx="10">
                  <c:v>Preview</c:v>
                </c:pt>
                <c:pt idx="11">
                  <c:v>Summary</c:v>
                </c:pt>
                <c:pt idx="12">
                  <c:v>Supplement</c:v>
                </c:pt>
              </c:strCache>
            </c:strRef>
          </c:cat>
          <c:val>
            <c:numRef>
              <c:f>'Part-genres'!$F$8:$F$20</c:f>
              <c:numCache>
                <c:formatCode>General</c:formatCode>
                <c:ptCount val="13"/>
                <c:pt idx="0">
                  <c:v>7</c:v>
                </c:pt>
                <c:pt idx="1">
                  <c:v>5</c:v>
                </c:pt>
                <c:pt idx="2">
                  <c:v>4</c:v>
                </c:pt>
                <c:pt idx="3">
                  <c:v>1</c:v>
                </c:pt>
                <c:pt idx="4">
                  <c:v>1</c:v>
                </c:pt>
                <c:pt idx="5">
                  <c:v>2</c:v>
                </c:pt>
                <c:pt idx="6">
                  <c:v>0</c:v>
                </c:pt>
                <c:pt idx="7">
                  <c:v>1</c:v>
                </c:pt>
                <c:pt idx="8">
                  <c:v>7</c:v>
                </c:pt>
                <c:pt idx="9">
                  <c:v>3</c:v>
                </c:pt>
                <c:pt idx="10">
                  <c:v>3</c:v>
                </c:pt>
                <c:pt idx="11">
                  <c:v>0</c:v>
                </c:pt>
                <c:pt idx="12">
                  <c:v>0</c:v>
                </c:pt>
              </c:numCache>
            </c:numRef>
          </c:val>
          <c:extLst>
            <c:ext xmlns:c16="http://schemas.microsoft.com/office/drawing/2014/chart" uri="{C3380CC4-5D6E-409C-BE32-E72D297353CC}">
              <c16:uniqueId val="{00000002-B6D6-4993-B113-A866C04BA41B}"/>
            </c:ext>
          </c:extLst>
        </c:ser>
        <c:dLbls>
          <c:showLegendKey val="0"/>
          <c:showVal val="0"/>
          <c:showCatName val="0"/>
          <c:showSerName val="0"/>
          <c:showPercent val="0"/>
          <c:showBubbleSize val="0"/>
        </c:dLbls>
        <c:gapWidth val="150"/>
        <c:axId val="328960640"/>
        <c:axId val="328974720"/>
      </c:barChart>
      <c:catAx>
        <c:axId val="328960640"/>
        <c:scaling>
          <c:orientation val="minMax"/>
        </c:scaling>
        <c:delete val="0"/>
        <c:axPos val="l"/>
        <c:numFmt formatCode="General" sourceLinked="0"/>
        <c:majorTickMark val="none"/>
        <c:minorTickMark val="none"/>
        <c:tickLblPos val="nextTo"/>
        <c:txPr>
          <a:bodyPr/>
          <a:lstStyle/>
          <a:p>
            <a:pPr>
              <a:defRPr lang="it-IT"/>
            </a:pPr>
            <a:endParaRPr lang="it-IT"/>
          </a:p>
        </c:txPr>
        <c:crossAx val="328974720"/>
        <c:crosses val="autoZero"/>
        <c:auto val="1"/>
        <c:lblAlgn val="ctr"/>
        <c:lblOffset val="100"/>
        <c:noMultiLvlLbl val="0"/>
      </c:catAx>
      <c:valAx>
        <c:axId val="328974720"/>
        <c:scaling>
          <c:orientation val="minMax"/>
        </c:scaling>
        <c:delete val="0"/>
        <c:axPos val="b"/>
        <c:majorGridlines/>
        <c:title>
          <c:tx>
            <c:rich>
              <a:bodyPr/>
              <a:lstStyle/>
              <a:p>
                <a:pPr>
                  <a:defRPr lang="it-IT"/>
                </a:pPr>
                <a:r>
                  <a:rPr lang="en-US"/>
                  <a:t>Frequency</a:t>
                </a:r>
              </a:p>
            </c:rich>
          </c:tx>
          <c:overlay val="0"/>
        </c:title>
        <c:numFmt formatCode="General" sourceLinked="1"/>
        <c:majorTickMark val="out"/>
        <c:minorTickMark val="none"/>
        <c:tickLblPos val="nextTo"/>
        <c:txPr>
          <a:bodyPr/>
          <a:lstStyle/>
          <a:p>
            <a:pPr>
              <a:defRPr lang="it-IT"/>
            </a:pPr>
            <a:endParaRPr lang="it-IT"/>
          </a:p>
        </c:txPr>
        <c:crossAx val="328960640"/>
        <c:crosses val="autoZero"/>
        <c:crossBetween val="between"/>
      </c:valAx>
    </c:plotArea>
    <c:legend>
      <c:legendPos val="r"/>
      <c:overlay val="0"/>
      <c:txPr>
        <a:bodyPr/>
        <a:lstStyle/>
        <a:p>
          <a:pPr>
            <a:defRPr lang="it-IT"/>
          </a:pPr>
          <a:endParaRPr lang="it-IT"/>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percentStacked"/>
        <c:varyColors val="0"/>
        <c:ser>
          <c:idx val="0"/>
          <c:order val="0"/>
          <c:tx>
            <c:strRef>
              <c:f>'SP vs. PR'!$D$20</c:f>
              <c:strCache>
                <c:ptCount val="1"/>
                <c:pt idx="0">
                  <c:v>SP</c:v>
                </c:pt>
              </c:strCache>
            </c:strRef>
          </c:tx>
          <c:invertIfNegative val="0"/>
          <c:cat>
            <c:strRef>
              <c:f>'SP vs. PR'!$E$19:$G$19</c:f>
              <c:strCache>
                <c:ptCount val="3"/>
                <c:pt idx="0">
                  <c:v>CSR-Ita-T</c:v>
                </c:pt>
                <c:pt idx="1">
                  <c:v>CSR-Chn-T</c:v>
                </c:pt>
                <c:pt idx="2">
                  <c:v>CSR-Eng-T</c:v>
                </c:pt>
              </c:strCache>
            </c:strRef>
          </c:cat>
          <c:val>
            <c:numRef>
              <c:f>'SP vs. PR'!$E$20:$G$20</c:f>
              <c:numCache>
                <c:formatCode>General</c:formatCode>
                <c:ptCount val="3"/>
                <c:pt idx="0">
                  <c:v>50102</c:v>
                </c:pt>
                <c:pt idx="1">
                  <c:v>20497</c:v>
                </c:pt>
                <c:pt idx="2">
                  <c:v>33324</c:v>
                </c:pt>
              </c:numCache>
            </c:numRef>
          </c:val>
          <c:extLst>
            <c:ext xmlns:c16="http://schemas.microsoft.com/office/drawing/2014/chart" uri="{C3380CC4-5D6E-409C-BE32-E72D297353CC}">
              <c16:uniqueId val="{00000000-6E15-458E-A3AA-DB3D32E5898B}"/>
            </c:ext>
          </c:extLst>
        </c:ser>
        <c:ser>
          <c:idx val="1"/>
          <c:order val="1"/>
          <c:tx>
            <c:strRef>
              <c:f>'SP vs. PR'!$D$21</c:f>
              <c:strCache>
                <c:ptCount val="1"/>
                <c:pt idx="0">
                  <c:v>PR</c:v>
                </c:pt>
              </c:strCache>
            </c:strRef>
          </c:tx>
          <c:invertIfNegative val="0"/>
          <c:cat>
            <c:strRef>
              <c:f>'SP vs. PR'!$E$19:$G$19</c:f>
              <c:strCache>
                <c:ptCount val="3"/>
                <c:pt idx="0">
                  <c:v>CSR-Ita-T</c:v>
                </c:pt>
                <c:pt idx="1">
                  <c:v>CSR-Chn-T</c:v>
                </c:pt>
                <c:pt idx="2">
                  <c:v>CSR-Eng-T</c:v>
                </c:pt>
              </c:strCache>
            </c:strRef>
          </c:cat>
          <c:val>
            <c:numRef>
              <c:f>'SP vs. PR'!$E$21:$G$21</c:f>
              <c:numCache>
                <c:formatCode>General</c:formatCode>
                <c:ptCount val="3"/>
                <c:pt idx="0">
                  <c:v>215039</c:v>
                </c:pt>
                <c:pt idx="1">
                  <c:v>123224</c:v>
                </c:pt>
                <c:pt idx="2">
                  <c:v>109059</c:v>
                </c:pt>
              </c:numCache>
            </c:numRef>
          </c:val>
          <c:extLst>
            <c:ext xmlns:c16="http://schemas.microsoft.com/office/drawing/2014/chart" uri="{C3380CC4-5D6E-409C-BE32-E72D297353CC}">
              <c16:uniqueId val="{00000001-6E15-458E-A3AA-DB3D32E5898B}"/>
            </c:ext>
          </c:extLst>
        </c:ser>
        <c:dLbls>
          <c:showLegendKey val="0"/>
          <c:showVal val="0"/>
          <c:showCatName val="0"/>
          <c:showSerName val="0"/>
          <c:showPercent val="0"/>
          <c:showBubbleSize val="0"/>
        </c:dLbls>
        <c:gapWidth val="95"/>
        <c:overlap val="100"/>
        <c:axId val="328984832"/>
        <c:axId val="330498048"/>
      </c:barChart>
      <c:catAx>
        <c:axId val="328984832"/>
        <c:scaling>
          <c:orientation val="minMax"/>
        </c:scaling>
        <c:delete val="0"/>
        <c:axPos val="b"/>
        <c:numFmt formatCode="General" sourceLinked="0"/>
        <c:majorTickMark val="none"/>
        <c:minorTickMark val="none"/>
        <c:tickLblPos val="nextTo"/>
        <c:txPr>
          <a:bodyPr/>
          <a:lstStyle/>
          <a:p>
            <a:pPr>
              <a:defRPr lang="it-IT"/>
            </a:pPr>
            <a:endParaRPr lang="it-IT"/>
          </a:p>
        </c:txPr>
        <c:crossAx val="330498048"/>
        <c:crosses val="autoZero"/>
        <c:auto val="1"/>
        <c:lblAlgn val="ctr"/>
        <c:lblOffset val="100"/>
        <c:noMultiLvlLbl val="0"/>
      </c:catAx>
      <c:valAx>
        <c:axId val="330498048"/>
        <c:scaling>
          <c:orientation val="minMax"/>
        </c:scaling>
        <c:delete val="0"/>
        <c:axPos val="l"/>
        <c:majorGridlines/>
        <c:numFmt formatCode="0%" sourceLinked="1"/>
        <c:majorTickMark val="none"/>
        <c:minorTickMark val="none"/>
        <c:tickLblPos val="nextTo"/>
        <c:txPr>
          <a:bodyPr/>
          <a:lstStyle/>
          <a:p>
            <a:pPr>
              <a:defRPr lang="it-IT"/>
            </a:pPr>
            <a:endParaRPr lang="it-IT"/>
          </a:p>
        </c:txPr>
        <c:crossAx val="328984832"/>
        <c:crosses val="autoZero"/>
        <c:crossBetween val="between"/>
      </c:valAx>
      <c:dTable>
        <c:showHorzBorder val="1"/>
        <c:showVertBorder val="1"/>
        <c:showOutline val="1"/>
        <c:showKeys val="1"/>
        <c:txPr>
          <a:bodyPr/>
          <a:lstStyle/>
          <a:p>
            <a:pPr rtl="0">
              <a:defRPr lang="it-IT"/>
            </a:pPr>
            <a:endParaRPr lang="it-IT"/>
          </a:p>
        </c:txPr>
      </c:dTable>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layout!$D$4</c:f>
              <c:strCache>
                <c:ptCount val="1"/>
                <c:pt idx="0">
                  <c:v>CSR-Ita-T</c:v>
                </c:pt>
              </c:strCache>
            </c:strRef>
          </c:tx>
          <c:invertIfNegative val="0"/>
          <c:cat>
            <c:strRef>
              <c:f>layout!$C$5:$C$13</c:f>
              <c:strCache>
                <c:ptCount val="9"/>
                <c:pt idx="0">
                  <c:v>Heading</c:v>
                </c:pt>
                <c:pt idx="1">
                  <c:v>Lead-in</c:v>
                </c:pt>
                <c:pt idx="2">
                  <c:v>Box</c:v>
                </c:pt>
                <c:pt idx="3">
                  <c:v>Picture/photo</c:v>
                </c:pt>
                <c:pt idx="4">
                  <c:v>Caption</c:v>
                </c:pt>
                <c:pt idx="5">
                  <c:v>Diagram</c:v>
                </c:pt>
                <c:pt idx="6">
                  <c:v>Table</c:v>
                </c:pt>
                <c:pt idx="7">
                  <c:v>Column</c:v>
                </c:pt>
                <c:pt idx="8">
                  <c:v>Zoom</c:v>
                </c:pt>
              </c:strCache>
            </c:strRef>
          </c:cat>
          <c:val>
            <c:numRef>
              <c:f>layout!$D$5:$D$13</c:f>
              <c:numCache>
                <c:formatCode>General</c:formatCode>
                <c:ptCount val="9"/>
                <c:pt idx="0">
                  <c:v>1.2701750000000001</c:v>
                </c:pt>
                <c:pt idx="1">
                  <c:v>4.7368000000000132E-2</c:v>
                </c:pt>
                <c:pt idx="2">
                  <c:v>0.19298199999999999</c:v>
                </c:pt>
                <c:pt idx="3">
                  <c:v>7.7193000000000123E-2</c:v>
                </c:pt>
                <c:pt idx="4">
                  <c:v>8.7720000000000228E-3</c:v>
                </c:pt>
                <c:pt idx="5">
                  <c:v>0.26842100000000002</c:v>
                </c:pt>
                <c:pt idx="6">
                  <c:v>0.22280700000000001</c:v>
                </c:pt>
                <c:pt idx="7">
                  <c:v>0.23333300000000001</c:v>
                </c:pt>
                <c:pt idx="8">
                  <c:v>0.18421100000000168</c:v>
                </c:pt>
              </c:numCache>
            </c:numRef>
          </c:val>
          <c:extLst>
            <c:ext xmlns:c16="http://schemas.microsoft.com/office/drawing/2014/chart" uri="{C3380CC4-5D6E-409C-BE32-E72D297353CC}">
              <c16:uniqueId val="{00000000-C6EA-4678-A0EA-5B0E8374C35F}"/>
            </c:ext>
          </c:extLst>
        </c:ser>
        <c:ser>
          <c:idx val="1"/>
          <c:order val="1"/>
          <c:tx>
            <c:strRef>
              <c:f>layout!$E$4</c:f>
              <c:strCache>
                <c:ptCount val="1"/>
                <c:pt idx="0">
                  <c:v>CSR-Chn-T</c:v>
                </c:pt>
              </c:strCache>
            </c:strRef>
          </c:tx>
          <c:invertIfNegative val="0"/>
          <c:cat>
            <c:strRef>
              <c:f>layout!$C$5:$C$13</c:f>
              <c:strCache>
                <c:ptCount val="9"/>
                <c:pt idx="0">
                  <c:v>Heading</c:v>
                </c:pt>
                <c:pt idx="1">
                  <c:v>Lead-in</c:v>
                </c:pt>
                <c:pt idx="2">
                  <c:v>Box</c:v>
                </c:pt>
                <c:pt idx="3">
                  <c:v>Picture/photo</c:v>
                </c:pt>
                <c:pt idx="4">
                  <c:v>Caption</c:v>
                </c:pt>
                <c:pt idx="5">
                  <c:v>Diagram</c:v>
                </c:pt>
                <c:pt idx="6">
                  <c:v>Table</c:v>
                </c:pt>
                <c:pt idx="7">
                  <c:v>Column</c:v>
                </c:pt>
                <c:pt idx="8">
                  <c:v>Zoom</c:v>
                </c:pt>
              </c:strCache>
            </c:strRef>
          </c:cat>
          <c:val>
            <c:numRef>
              <c:f>layout!$E$5:$E$13</c:f>
              <c:numCache>
                <c:formatCode>General</c:formatCode>
                <c:ptCount val="9"/>
                <c:pt idx="0">
                  <c:v>1.7600769999999999</c:v>
                </c:pt>
                <c:pt idx="1">
                  <c:v>8.637199999999999E-2</c:v>
                </c:pt>
                <c:pt idx="2">
                  <c:v>0.55854099999999951</c:v>
                </c:pt>
                <c:pt idx="3">
                  <c:v>1.0710170000000001</c:v>
                </c:pt>
                <c:pt idx="4">
                  <c:v>0.65834900000000718</c:v>
                </c:pt>
                <c:pt idx="5">
                  <c:v>0.29750500000000002</c:v>
                </c:pt>
                <c:pt idx="6">
                  <c:v>0.11900200000000002</c:v>
                </c:pt>
                <c:pt idx="7">
                  <c:v>0.10940500000000022</c:v>
                </c:pt>
                <c:pt idx="8">
                  <c:v>0.23416500000000001</c:v>
                </c:pt>
              </c:numCache>
            </c:numRef>
          </c:val>
          <c:extLst>
            <c:ext xmlns:c16="http://schemas.microsoft.com/office/drawing/2014/chart" uri="{C3380CC4-5D6E-409C-BE32-E72D297353CC}">
              <c16:uniqueId val="{00000001-C6EA-4678-A0EA-5B0E8374C35F}"/>
            </c:ext>
          </c:extLst>
        </c:ser>
        <c:ser>
          <c:idx val="2"/>
          <c:order val="2"/>
          <c:tx>
            <c:strRef>
              <c:f>layout!$F$4</c:f>
              <c:strCache>
                <c:ptCount val="1"/>
                <c:pt idx="0">
                  <c:v>CSR-Eng-T</c:v>
                </c:pt>
              </c:strCache>
            </c:strRef>
          </c:tx>
          <c:invertIfNegative val="0"/>
          <c:cat>
            <c:strRef>
              <c:f>layout!$C$5:$C$13</c:f>
              <c:strCache>
                <c:ptCount val="9"/>
                <c:pt idx="0">
                  <c:v>Heading</c:v>
                </c:pt>
                <c:pt idx="1">
                  <c:v>Lead-in</c:v>
                </c:pt>
                <c:pt idx="2">
                  <c:v>Box</c:v>
                </c:pt>
                <c:pt idx="3">
                  <c:v>Picture/photo</c:v>
                </c:pt>
                <c:pt idx="4">
                  <c:v>Caption</c:v>
                </c:pt>
                <c:pt idx="5">
                  <c:v>Diagram</c:v>
                </c:pt>
                <c:pt idx="6">
                  <c:v>Table</c:v>
                </c:pt>
                <c:pt idx="7">
                  <c:v>Column</c:v>
                </c:pt>
                <c:pt idx="8">
                  <c:v>Zoom</c:v>
                </c:pt>
              </c:strCache>
            </c:strRef>
          </c:cat>
          <c:val>
            <c:numRef>
              <c:f>layout!$F$5:$F$13</c:f>
              <c:numCache>
                <c:formatCode>General</c:formatCode>
                <c:ptCount val="9"/>
                <c:pt idx="0">
                  <c:v>3.1445310000000291</c:v>
                </c:pt>
                <c:pt idx="1">
                  <c:v>0.37890600000000307</c:v>
                </c:pt>
                <c:pt idx="2">
                  <c:v>0.42187500000000239</c:v>
                </c:pt>
                <c:pt idx="3">
                  <c:v>0.47265600000000002</c:v>
                </c:pt>
                <c:pt idx="4">
                  <c:v>0.16796900000000145</c:v>
                </c:pt>
                <c:pt idx="5">
                  <c:v>0.34765600000000002</c:v>
                </c:pt>
                <c:pt idx="6">
                  <c:v>0.25781300000000001</c:v>
                </c:pt>
                <c:pt idx="7">
                  <c:v>0.19531299999999999</c:v>
                </c:pt>
                <c:pt idx="8">
                  <c:v>7.4218999999999993E-2</c:v>
                </c:pt>
              </c:numCache>
            </c:numRef>
          </c:val>
          <c:extLst>
            <c:ext xmlns:c16="http://schemas.microsoft.com/office/drawing/2014/chart" uri="{C3380CC4-5D6E-409C-BE32-E72D297353CC}">
              <c16:uniqueId val="{00000002-C6EA-4678-A0EA-5B0E8374C35F}"/>
            </c:ext>
          </c:extLst>
        </c:ser>
        <c:dLbls>
          <c:showLegendKey val="0"/>
          <c:showVal val="0"/>
          <c:showCatName val="0"/>
          <c:showSerName val="0"/>
          <c:showPercent val="0"/>
          <c:showBubbleSize val="0"/>
        </c:dLbls>
        <c:gapWidth val="150"/>
        <c:axId val="78737792"/>
        <c:axId val="78739712"/>
      </c:barChart>
      <c:catAx>
        <c:axId val="78737792"/>
        <c:scaling>
          <c:orientation val="minMax"/>
        </c:scaling>
        <c:delete val="0"/>
        <c:axPos val="b"/>
        <c:title>
          <c:tx>
            <c:rich>
              <a:bodyPr/>
              <a:lstStyle/>
              <a:p>
                <a:pPr>
                  <a:defRPr lang="it-IT"/>
                </a:pPr>
                <a:r>
                  <a:rPr lang="zh-CN"/>
                  <a:t> </a:t>
                </a:r>
                <a:r>
                  <a:rPr lang="en-US"/>
                  <a:t>Layout formats</a:t>
                </a:r>
                <a:endParaRPr lang="zh-CN"/>
              </a:p>
            </c:rich>
          </c:tx>
          <c:layout>
            <c:manualLayout>
              <c:xMode val="edge"/>
              <c:yMode val="edge"/>
              <c:x val="0.40128974721425792"/>
              <c:y val="0.85889494398534083"/>
            </c:manualLayout>
          </c:layout>
          <c:overlay val="0"/>
        </c:title>
        <c:numFmt formatCode="General" sourceLinked="0"/>
        <c:majorTickMark val="none"/>
        <c:minorTickMark val="none"/>
        <c:tickLblPos val="nextTo"/>
        <c:txPr>
          <a:bodyPr/>
          <a:lstStyle/>
          <a:p>
            <a:pPr>
              <a:defRPr lang="it-IT"/>
            </a:pPr>
            <a:endParaRPr lang="it-IT"/>
          </a:p>
        </c:txPr>
        <c:crossAx val="78739712"/>
        <c:crosses val="autoZero"/>
        <c:auto val="1"/>
        <c:lblAlgn val="ctr"/>
        <c:lblOffset val="100"/>
        <c:noMultiLvlLbl val="0"/>
      </c:catAx>
      <c:valAx>
        <c:axId val="78739712"/>
        <c:scaling>
          <c:orientation val="minMax"/>
        </c:scaling>
        <c:delete val="0"/>
        <c:axPos val="l"/>
        <c:majorGridlines/>
        <c:title>
          <c:tx>
            <c:rich>
              <a:bodyPr/>
              <a:lstStyle/>
              <a:p>
                <a:pPr>
                  <a:defRPr lang="it-IT"/>
                </a:pPr>
                <a:r>
                  <a:rPr lang="en-US"/>
                  <a:t>Frequency rate*</a:t>
                </a:r>
                <a:endParaRPr lang="zh-CN"/>
              </a:p>
            </c:rich>
          </c:tx>
          <c:overlay val="0"/>
        </c:title>
        <c:numFmt formatCode="General" sourceLinked="1"/>
        <c:majorTickMark val="out"/>
        <c:minorTickMark val="none"/>
        <c:tickLblPos val="nextTo"/>
        <c:txPr>
          <a:bodyPr/>
          <a:lstStyle/>
          <a:p>
            <a:pPr>
              <a:defRPr lang="it-IT"/>
            </a:pPr>
            <a:endParaRPr lang="it-IT"/>
          </a:p>
        </c:txPr>
        <c:crossAx val="78737792"/>
        <c:crosses val="autoZero"/>
        <c:crossBetween val="between"/>
      </c:valAx>
    </c:plotArea>
    <c:legend>
      <c:legendPos val="r"/>
      <c:overlay val="0"/>
      <c:txPr>
        <a:bodyPr/>
        <a:lstStyle/>
        <a:p>
          <a:pPr>
            <a:defRPr lang="it-IT"/>
          </a:pPr>
          <a:endParaRPr lang="it-IT"/>
        </a:p>
      </c:txPr>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'SF vs PF'!$H$4</c:f>
              <c:strCache>
                <c:ptCount val="1"/>
                <c:pt idx="0">
                  <c:v>SP</c:v>
                </c:pt>
              </c:strCache>
            </c:strRef>
          </c:tx>
          <c:invertIfNegative val="0"/>
          <c:cat>
            <c:strRef>
              <c:f>'SF vs PF'!$G$5:$G$19</c:f>
              <c:strCache>
                <c:ptCount val="15"/>
                <c:pt idx="0">
                  <c:v>1. Corp. profile</c:v>
                </c:pt>
                <c:pt idx="1">
                  <c:v>2. Corp. govern.</c:v>
                </c:pt>
                <c:pt idx="2">
                  <c:v>3. Values</c:v>
                </c:pt>
                <c:pt idx="3">
                  <c:v>4. Missions</c:v>
                </c:pt>
                <c:pt idx="4">
                  <c:v>5. Commitment</c:v>
                </c:pt>
                <c:pt idx="5">
                  <c:v>6. Credentials</c:v>
                </c:pt>
                <c:pt idx="6">
                  <c:v>7. SMP</c:v>
                </c:pt>
                <c:pt idx="7">
                  <c:v>8. Future PF</c:v>
                </c:pt>
                <c:pt idx="8">
                  <c:v>9. PF</c:v>
                </c:pt>
                <c:pt idx="9">
                  <c:v>10. Internal act</c:v>
                </c:pt>
                <c:pt idx="10">
                  <c:v>11. Issue</c:v>
                </c:pt>
                <c:pt idx="11">
                  <c:v>12. Indiv. cases</c:v>
                </c:pt>
                <c:pt idx="12">
                  <c:v>13. Circumstances</c:v>
                </c:pt>
                <c:pt idx="13">
                  <c:v>14. Intro. PF </c:v>
                </c:pt>
                <c:pt idx="14">
                  <c:v>15. Risk</c:v>
                </c:pt>
              </c:strCache>
            </c:strRef>
          </c:cat>
          <c:val>
            <c:numRef>
              <c:f>'SF vs PF'!$H$5:$H$19</c:f>
              <c:numCache>
                <c:formatCode>General</c:formatCode>
                <c:ptCount val="15"/>
                <c:pt idx="0">
                  <c:v>8.6458000000000021E-2</c:v>
                </c:pt>
                <c:pt idx="1">
                  <c:v>5.4646000000000014E-2</c:v>
                </c:pt>
                <c:pt idx="2">
                  <c:v>2.9474000000000007E-2</c:v>
                </c:pt>
                <c:pt idx="3">
                  <c:v>9.5460000000000007E-3</c:v>
                </c:pt>
                <c:pt idx="4">
                  <c:v>1.6011999999999998E-2</c:v>
                </c:pt>
                <c:pt idx="5">
                  <c:v>6.9185999999999998E-2</c:v>
                </c:pt>
                <c:pt idx="6">
                  <c:v>0.27147000000000016</c:v>
                </c:pt>
                <c:pt idx="7">
                  <c:v>2.5654000000000007E-2</c:v>
                </c:pt>
                <c:pt idx="8">
                  <c:v>0.24269900000000005</c:v>
                </c:pt>
                <c:pt idx="9">
                  <c:v>4.1733000000000013E-2</c:v>
                </c:pt>
                <c:pt idx="10">
                  <c:v>2.6664E-2</c:v>
                </c:pt>
                <c:pt idx="11">
                  <c:v>0</c:v>
                </c:pt>
                <c:pt idx="12">
                  <c:v>2.6144000000000001E-2</c:v>
                </c:pt>
                <c:pt idx="13">
                  <c:v>1.3037999999999998E-2</c:v>
                </c:pt>
                <c:pt idx="14">
                  <c:v>1.6069999999999999E-3</c:v>
                </c:pt>
              </c:numCache>
            </c:numRef>
          </c:val>
          <c:extLst>
            <c:ext xmlns:c16="http://schemas.microsoft.com/office/drawing/2014/chart" uri="{C3380CC4-5D6E-409C-BE32-E72D297353CC}">
              <c16:uniqueId val="{00000000-FC28-418F-8E08-7B63E4AD2D82}"/>
            </c:ext>
          </c:extLst>
        </c:ser>
        <c:ser>
          <c:idx val="1"/>
          <c:order val="1"/>
          <c:tx>
            <c:strRef>
              <c:f>'SF vs PF'!$I$4</c:f>
              <c:strCache>
                <c:ptCount val="1"/>
                <c:pt idx="0">
                  <c:v>PR</c:v>
                </c:pt>
              </c:strCache>
            </c:strRef>
          </c:tx>
          <c:invertIfNegative val="0"/>
          <c:cat>
            <c:strRef>
              <c:f>'SF vs PF'!$G$5:$G$19</c:f>
              <c:strCache>
                <c:ptCount val="15"/>
                <c:pt idx="0">
                  <c:v>1. Corp. profile</c:v>
                </c:pt>
                <c:pt idx="1">
                  <c:v>2. Corp. govern.</c:v>
                </c:pt>
                <c:pt idx="2">
                  <c:v>3. Values</c:v>
                </c:pt>
                <c:pt idx="3">
                  <c:v>4. Missions</c:v>
                </c:pt>
                <c:pt idx="4">
                  <c:v>5. Commitment</c:v>
                </c:pt>
                <c:pt idx="5">
                  <c:v>6. Credentials</c:v>
                </c:pt>
                <c:pt idx="6">
                  <c:v>7. SMP</c:v>
                </c:pt>
                <c:pt idx="7">
                  <c:v>8. Future PF</c:v>
                </c:pt>
                <c:pt idx="8">
                  <c:v>9. PF</c:v>
                </c:pt>
                <c:pt idx="9">
                  <c:v>10. Internal act</c:v>
                </c:pt>
                <c:pt idx="10">
                  <c:v>11. Issue</c:v>
                </c:pt>
                <c:pt idx="11">
                  <c:v>12. Indiv. cases</c:v>
                </c:pt>
                <c:pt idx="12">
                  <c:v>13. Circumstances</c:v>
                </c:pt>
                <c:pt idx="13">
                  <c:v>14. Intro. PF </c:v>
                </c:pt>
                <c:pt idx="14">
                  <c:v>15. Risk</c:v>
                </c:pt>
              </c:strCache>
            </c:strRef>
          </c:cat>
          <c:val>
            <c:numRef>
              <c:f>'SF vs PF'!$I$5:$I$19</c:f>
              <c:numCache>
                <c:formatCode>General</c:formatCode>
                <c:ptCount val="15"/>
                <c:pt idx="0">
                  <c:v>1.1870000000000003E-3</c:v>
                </c:pt>
                <c:pt idx="1">
                  <c:v>2.6890000000000009E-3</c:v>
                </c:pt>
                <c:pt idx="2">
                  <c:v>3.4270000000000012E-3</c:v>
                </c:pt>
                <c:pt idx="3">
                  <c:v>5.6310000000000023E-3</c:v>
                </c:pt>
                <c:pt idx="4">
                  <c:v>1.6514000000000001E-2</c:v>
                </c:pt>
                <c:pt idx="5">
                  <c:v>1.8709000000000003E-2</c:v>
                </c:pt>
                <c:pt idx="6">
                  <c:v>0.19340700000000005</c:v>
                </c:pt>
                <c:pt idx="7">
                  <c:v>2.5809000000000006E-2</c:v>
                </c:pt>
                <c:pt idx="8">
                  <c:v>0.46563300000000002</c:v>
                </c:pt>
                <c:pt idx="9">
                  <c:v>7.9408000000000034E-2</c:v>
                </c:pt>
                <c:pt idx="10">
                  <c:v>2.1980000000000007E-3</c:v>
                </c:pt>
                <c:pt idx="11">
                  <c:v>1.3509000000000004E-2</c:v>
                </c:pt>
                <c:pt idx="12">
                  <c:v>3.5102000000000001E-2</c:v>
                </c:pt>
                <c:pt idx="13">
                  <c:v>5.4579999999999997E-2</c:v>
                </c:pt>
                <c:pt idx="14">
                  <c:v>2.81E-3</c:v>
                </c:pt>
              </c:numCache>
            </c:numRef>
          </c:val>
          <c:extLst>
            <c:ext xmlns:c16="http://schemas.microsoft.com/office/drawing/2014/chart" uri="{C3380CC4-5D6E-409C-BE32-E72D297353CC}">
              <c16:uniqueId val="{00000001-FC28-418F-8E08-7B63E4AD2D82}"/>
            </c:ext>
          </c:extLst>
        </c:ser>
        <c:dLbls>
          <c:showLegendKey val="0"/>
          <c:showVal val="0"/>
          <c:showCatName val="0"/>
          <c:showSerName val="0"/>
          <c:showPercent val="0"/>
          <c:showBubbleSize val="0"/>
        </c:dLbls>
        <c:gapWidth val="150"/>
        <c:axId val="78752000"/>
        <c:axId val="219038848"/>
      </c:barChart>
      <c:catAx>
        <c:axId val="78752000"/>
        <c:scaling>
          <c:orientation val="minMax"/>
        </c:scaling>
        <c:delete val="0"/>
        <c:axPos val="l"/>
        <c:title>
          <c:tx>
            <c:rich>
              <a:bodyPr/>
              <a:lstStyle/>
              <a:p>
                <a:pPr>
                  <a:defRPr/>
                </a:pPr>
                <a:r>
                  <a:rPr lang="en-US" altLang="zh-CN"/>
                  <a:t>Extensiveness*</a:t>
                </a:r>
                <a:endParaRPr lang="zh-CN"/>
              </a:p>
            </c:rich>
          </c:tx>
          <c:overlay val="0"/>
        </c:title>
        <c:numFmt formatCode="General" sourceLinked="0"/>
        <c:majorTickMark val="none"/>
        <c:minorTickMark val="none"/>
        <c:tickLblPos val="nextTo"/>
        <c:crossAx val="219038848"/>
        <c:crosses val="autoZero"/>
        <c:auto val="1"/>
        <c:lblAlgn val="ctr"/>
        <c:lblOffset val="100"/>
        <c:noMultiLvlLbl val="0"/>
      </c:catAx>
      <c:valAx>
        <c:axId val="219038848"/>
        <c:scaling>
          <c:orientation val="minMax"/>
        </c:scaling>
        <c:delete val="0"/>
        <c:axPos val="b"/>
        <c:majorGridlines/>
        <c:title>
          <c:tx>
            <c:rich>
              <a:bodyPr/>
              <a:lstStyle/>
              <a:p>
                <a:pPr>
                  <a:defRPr/>
                </a:pPr>
                <a:r>
                  <a:rPr lang="en-US" altLang="zh-CN"/>
                  <a:t>*Extensiveness</a:t>
                </a:r>
                <a:r>
                  <a:rPr lang="en-US" altLang="zh-CN" baseline="0"/>
                  <a:t> = move tokens / total tokens</a:t>
                </a:r>
                <a:endParaRPr lang="zh-CN"/>
              </a:p>
            </c:rich>
          </c:tx>
          <c:layout>
            <c:manualLayout>
              <c:xMode val="edge"/>
              <c:yMode val="edge"/>
              <c:x val="2.5071570063743824E-2"/>
              <c:y val="0.94036884532405152"/>
            </c:manualLayout>
          </c:layout>
          <c:overlay val="0"/>
        </c:title>
        <c:numFmt formatCode="General" sourceLinked="1"/>
        <c:majorTickMark val="out"/>
        <c:minorTickMark val="none"/>
        <c:tickLblPos val="nextTo"/>
        <c:crossAx val="78752000"/>
        <c:crosses val="autoZero"/>
        <c:crossBetween val="between"/>
      </c:valAx>
    </c:plotArea>
    <c:legend>
      <c:legendPos val="r"/>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0.35</cdr:x>
      <cdr:y>0.66667</cdr:y>
    </cdr:from>
    <cdr:to>
      <cdr:x>0.55</cdr:x>
      <cdr:y>1</cdr:y>
    </cdr:to>
    <cdr:sp macro="" textlink="">
      <cdr:nvSpPr>
        <cdr:cNvPr id="2" name="TextBox 1"/>
        <cdr:cNvSpPr txBox="1"/>
      </cdr:nvSpPr>
      <cdr:spPr>
        <a:xfrm xmlns:a="http://schemas.openxmlformats.org/drawingml/2006/main">
          <a:off x="1600200" y="19050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zh-CN" altLang="en-US" sz="1100"/>
        </a:p>
      </cdr:txBody>
    </cdr:sp>
  </cdr:relSizeAnchor>
  <cdr:relSizeAnchor xmlns:cdr="http://schemas.openxmlformats.org/drawingml/2006/chartDrawing">
    <cdr:from>
      <cdr:x>0.32917</cdr:x>
      <cdr:y>0.5932</cdr:y>
    </cdr:from>
    <cdr:to>
      <cdr:x>0.425</cdr:x>
      <cdr:y>0.67306</cdr:y>
    </cdr:to>
    <cdr:sp macro="" textlink="">
      <cdr:nvSpPr>
        <cdr:cNvPr id="3" name="TextBox 2"/>
        <cdr:cNvSpPr txBox="1"/>
      </cdr:nvSpPr>
      <cdr:spPr>
        <a:xfrm xmlns:a="http://schemas.openxmlformats.org/drawingml/2006/main">
          <a:off x="1586484" y="1565113"/>
          <a:ext cx="461867" cy="21070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altLang="zh-CN" sz="1100" b="1"/>
            <a:t>19%</a:t>
          </a:r>
        </a:p>
      </cdr:txBody>
    </cdr:sp>
  </cdr:relSizeAnchor>
  <cdr:relSizeAnchor xmlns:cdr="http://schemas.openxmlformats.org/drawingml/2006/chartDrawing">
    <cdr:from>
      <cdr:x>0.61667</cdr:x>
      <cdr:y>0.60375</cdr:y>
    </cdr:from>
    <cdr:to>
      <cdr:x>0.7125</cdr:x>
      <cdr:y>0.68361</cdr:y>
    </cdr:to>
    <cdr:sp macro="" textlink="">
      <cdr:nvSpPr>
        <cdr:cNvPr id="4" name="TextBox 1"/>
        <cdr:cNvSpPr txBox="1"/>
      </cdr:nvSpPr>
      <cdr:spPr>
        <a:xfrm xmlns:a="http://schemas.openxmlformats.org/drawingml/2006/main">
          <a:off x="2972134" y="1592948"/>
          <a:ext cx="461867" cy="21070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altLang="zh-CN" sz="1100" b="1"/>
            <a:t>14%</a:t>
          </a:r>
        </a:p>
      </cdr:txBody>
    </cdr:sp>
  </cdr:relSizeAnchor>
  <cdr:relSizeAnchor xmlns:cdr="http://schemas.openxmlformats.org/drawingml/2006/chartDrawing">
    <cdr:from>
      <cdr:x>0.89167</cdr:x>
      <cdr:y>0.60028</cdr:y>
    </cdr:from>
    <cdr:to>
      <cdr:x>0.9875</cdr:x>
      <cdr:y>0.68014</cdr:y>
    </cdr:to>
    <cdr:sp macro="" textlink="">
      <cdr:nvSpPr>
        <cdr:cNvPr id="5" name="TextBox 1"/>
        <cdr:cNvSpPr txBox="1"/>
      </cdr:nvSpPr>
      <cdr:spPr>
        <a:xfrm xmlns:a="http://schemas.openxmlformats.org/drawingml/2006/main">
          <a:off x="4297537" y="1583793"/>
          <a:ext cx="461867" cy="21070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altLang="zh-CN" sz="1100" b="1"/>
            <a:t>23%</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0.92062</cdr:y>
    </cdr:from>
    <cdr:to>
      <cdr:x>0.48982</cdr:x>
      <cdr:y>0.97311</cdr:y>
    </cdr:to>
    <cdr:sp macro="" textlink="">
      <cdr:nvSpPr>
        <cdr:cNvPr id="2" name="TextBox 1"/>
        <cdr:cNvSpPr txBox="1"/>
      </cdr:nvSpPr>
      <cdr:spPr>
        <a:xfrm xmlns:a="http://schemas.openxmlformats.org/drawingml/2006/main">
          <a:off x="0" y="2803456"/>
          <a:ext cx="2370510" cy="15984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en-US" sz="1050">
              <a:latin typeface="Calibri"/>
            </a:rPr>
            <a:t>* </a:t>
          </a:r>
          <a:r>
            <a:rPr lang="en-US" altLang="zh-CN" sz="1050">
              <a:latin typeface="Calibri"/>
            </a:rPr>
            <a:t>Frequency</a:t>
          </a:r>
          <a:r>
            <a:rPr lang="en-US" altLang="zh-CN" sz="1050" baseline="0">
              <a:latin typeface="Calibri"/>
            </a:rPr>
            <a:t> rate</a:t>
          </a:r>
          <a:r>
            <a:rPr lang="en-US" sz="1050">
              <a:latin typeface="Calibri"/>
            </a:rPr>
            <a:t> = Frequency / Page number of Main Report</a:t>
          </a:r>
          <a:endParaRPr lang="zh-CN" altLang="en-US" sz="1050">
            <a:latin typeface="Calibri"/>
            <a:ea typeface="宋体"/>
          </a:endParaRPr>
        </a:p>
        <a:p xmlns:a="http://schemas.openxmlformats.org/drawingml/2006/main">
          <a:endParaRPr lang="zh-CN" altLang="en-US" sz="1100"/>
        </a:p>
      </cdr:txBody>
    </cdr:sp>
  </cdr:relSizeAnchor>
</c:userShape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15</Pages>
  <Words>7550</Words>
  <Characters>43040</Characters>
  <Application>Microsoft Office Word</Application>
  <DocSecurity>0</DocSecurity>
  <Lines>358</Lines>
  <Paragraphs>100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Bondi</dc:creator>
  <cp:keywords/>
  <dc:description/>
  <cp:lastModifiedBy>Marina Bondi</cp:lastModifiedBy>
  <cp:revision>2</cp:revision>
  <dcterms:created xsi:type="dcterms:W3CDTF">2019-02-23T18:16:00Z</dcterms:created>
  <dcterms:modified xsi:type="dcterms:W3CDTF">2019-02-23T18:29:00Z</dcterms:modified>
</cp:coreProperties>
</file>